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聊城市</w:t>
      </w:r>
      <w:r>
        <w:rPr>
          <w:rFonts w:hint="eastAsia" w:ascii="方正小标宋简体" w:hAnsi="方正小标宋简体" w:eastAsia="方正小标宋简体" w:cs="方正小标宋简体"/>
          <w:sz w:val="36"/>
          <w:szCs w:val="36"/>
          <w:lang w:val="en-US" w:eastAsia="zh-CN"/>
        </w:rPr>
        <w:t>文化和旅游局</w:t>
      </w:r>
      <w:r>
        <w:rPr>
          <w:rFonts w:hint="eastAsia" w:ascii="方正小标宋简体" w:hAnsi="方正小标宋简体" w:eastAsia="方正小标宋简体" w:cs="方正小标宋简体"/>
          <w:sz w:val="36"/>
          <w:szCs w:val="36"/>
        </w:rPr>
        <w:t>政府信息公开20</w:t>
      </w:r>
      <w:r>
        <w:rPr>
          <w:rFonts w:hint="eastAsia" w:ascii="方正小标宋简体" w:hAnsi="方正小标宋简体" w:eastAsia="方正小标宋简体" w:cs="方正小标宋简体"/>
          <w:sz w:val="36"/>
          <w:szCs w:val="36"/>
          <w:lang w:val="en-US" w:eastAsia="zh-CN"/>
        </w:rPr>
        <w:t>21</w:t>
      </w:r>
      <w:r>
        <w:rPr>
          <w:rFonts w:hint="eastAsia" w:ascii="方正小标宋简体" w:hAnsi="方正小标宋简体" w:eastAsia="方正小标宋简体" w:cs="方正小标宋简体"/>
          <w:sz w:val="36"/>
          <w:szCs w:val="36"/>
        </w:rPr>
        <w:t>年度工作报告</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根据《中华人民共和国政府信息公开条例》和《国务院办公厅政府信息与政务公开办公室关于政府信息公开工作年度报告有关事项的通知》，制作并向社会公布20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聊城市文化和旅游局</w:t>
      </w:r>
      <w:r>
        <w:rPr>
          <w:rFonts w:hint="eastAsia" w:ascii="仿宋_GB2312" w:hAnsi="仿宋_GB2312" w:eastAsia="仿宋_GB2312" w:cs="仿宋_GB2312"/>
          <w:sz w:val="32"/>
          <w:szCs w:val="32"/>
        </w:rPr>
        <w:t>政府信息公开工作报告。</w:t>
      </w:r>
    </w:p>
    <w:p>
      <w:pPr>
        <w:pStyle w:val="6"/>
        <w:widowControl/>
        <w:spacing w:before="0" w:beforeAutospacing="0" w:after="0" w:afterAutospacing="0"/>
        <w:ind w:firstLine="420"/>
        <w:jc w:val="both"/>
        <w:rPr>
          <w:rFonts w:hint="eastAsia" w:ascii="CESI黑体-GB2312" w:hAnsi="CESI黑体-GB2312" w:eastAsia="CESI黑体-GB2312" w:cs="CESI黑体-GB2312"/>
          <w:b w:val="0"/>
          <w:bCs w:val="0"/>
          <w:sz w:val="32"/>
          <w:szCs w:val="32"/>
        </w:rPr>
      </w:pPr>
      <w:r>
        <w:rPr>
          <w:rFonts w:hint="eastAsia" w:ascii="CESI黑体-GB2312" w:hAnsi="CESI黑体-GB2312" w:eastAsia="CESI黑体-GB2312" w:cs="CESI黑体-GB2312"/>
          <w:b w:val="0"/>
          <w:bCs w:val="0"/>
          <w:sz w:val="32"/>
          <w:szCs w:val="32"/>
        </w:rPr>
        <w:t>一、总体情况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rPr>
        <w:t>年，我局</w:t>
      </w:r>
      <w:r>
        <w:rPr>
          <w:rFonts w:hint="eastAsia" w:ascii="仿宋_GB2312" w:hAnsi="仿宋_GB2312" w:eastAsia="仿宋_GB2312" w:cs="仿宋_GB2312"/>
          <w:sz w:val="32"/>
          <w:szCs w:val="32"/>
          <w:lang w:val="en-US" w:eastAsia="zh-CN"/>
        </w:rPr>
        <w:t>根据</w:t>
      </w:r>
      <w:r>
        <w:rPr>
          <w:rFonts w:hint="eastAsia" w:ascii="仿宋_GB2312" w:hAnsi="仿宋_GB2312" w:eastAsia="仿宋_GB2312" w:cs="仿宋_GB2312"/>
          <w:sz w:val="32"/>
          <w:szCs w:val="32"/>
        </w:rPr>
        <w:t>国家、省、市关于政府信息公开工作的</w:t>
      </w:r>
      <w:r>
        <w:rPr>
          <w:rFonts w:hint="eastAsia" w:ascii="仿宋_GB2312" w:hAnsi="仿宋_GB2312" w:eastAsia="仿宋_GB2312" w:cs="仿宋_GB2312"/>
          <w:sz w:val="32"/>
          <w:szCs w:val="32"/>
          <w:lang w:eastAsia="zh-CN"/>
        </w:rPr>
        <w:t>新部署</w:t>
      </w:r>
      <w:r>
        <w:rPr>
          <w:rFonts w:hint="eastAsia" w:ascii="仿宋_GB2312" w:hAnsi="仿宋_GB2312" w:eastAsia="仿宋_GB2312" w:cs="仿宋_GB2312"/>
          <w:sz w:val="32"/>
          <w:szCs w:val="32"/>
          <w:lang w:val="en-US" w:eastAsia="zh-CN"/>
        </w:rPr>
        <w:t>新</w:t>
      </w:r>
      <w:r>
        <w:rPr>
          <w:rFonts w:hint="eastAsia" w:ascii="仿宋_GB2312" w:hAnsi="仿宋_GB2312" w:eastAsia="仿宋_GB2312" w:cs="仿宋_GB2312"/>
          <w:sz w:val="32"/>
          <w:szCs w:val="32"/>
        </w:rPr>
        <w:t>要</w:t>
      </w:r>
      <w:r>
        <w:rPr>
          <w:rFonts w:hint="eastAsia" w:ascii="仿宋_GB2312" w:hAnsi="仿宋_GB2312" w:eastAsia="仿宋_GB2312" w:cs="仿宋_GB2312"/>
          <w:sz w:val="32"/>
          <w:szCs w:val="32"/>
          <w:lang w:val="en-US" w:eastAsia="zh-CN"/>
        </w:rPr>
        <w:t>求，</w:t>
      </w:r>
      <w:r>
        <w:rPr>
          <w:rFonts w:hint="eastAsia" w:ascii="仿宋_GB2312" w:hAnsi="仿宋_GB2312" w:eastAsia="仿宋_GB2312" w:cs="仿宋_GB2312"/>
          <w:sz w:val="32"/>
          <w:szCs w:val="32"/>
        </w:rPr>
        <w:t>围绕</w:t>
      </w:r>
      <w:r>
        <w:rPr>
          <w:rFonts w:hint="eastAsia" w:ascii="仿宋_GB2312" w:hAnsi="仿宋_GB2312" w:eastAsia="仿宋_GB2312" w:cs="仿宋_GB2312"/>
          <w:sz w:val="32"/>
          <w:szCs w:val="32"/>
          <w:lang w:eastAsia="zh-CN"/>
        </w:rPr>
        <w:t>文旅事业产业发展、</w:t>
      </w:r>
      <w:r>
        <w:rPr>
          <w:rFonts w:hint="eastAsia" w:ascii="仿宋_GB2312" w:hAnsi="仿宋_GB2312" w:eastAsia="仿宋_GB2312" w:cs="仿宋_GB2312"/>
          <w:sz w:val="32"/>
          <w:szCs w:val="32"/>
          <w:lang w:val="en-US" w:eastAsia="zh-CN"/>
        </w:rPr>
        <w:t>乡村振兴</w:t>
      </w:r>
      <w:r>
        <w:rPr>
          <w:rFonts w:hint="eastAsia" w:ascii="仿宋_GB2312" w:hAnsi="仿宋_GB2312" w:eastAsia="仿宋_GB2312" w:cs="仿宋_GB2312"/>
          <w:sz w:val="32"/>
          <w:szCs w:val="32"/>
        </w:rPr>
        <w:t>等重点工作，进一步</w:t>
      </w:r>
      <w:r>
        <w:rPr>
          <w:rFonts w:hint="eastAsia" w:ascii="仿宋_GB2312" w:hAnsi="仿宋_GB2312" w:eastAsia="仿宋_GB2312" w:cs="仿宋_GB2312"/>
          <w:sz w:val="32"/>
          <w:szCs w:val="32"/>
          <w:lang w:eastAsia="zh-CN"/>
        </w:rPr>
        <w:t>强化平台建设、</w:t>
      </w:r>
      <w:r>
        <w:rPr>
          <w:rFonts w:hint="eastAsia" w:ascii="仿宋_GB2312" w:hAnsi="仿宋_GB2312" w:eastAsia="仿宋_GB2312" w:cs="仿宋_GB2312"/>
          <w:sz w:val="32"/>
          <w:szCs w:val="32"/>
        </w:rPr>
        <w:t>扩大公开范围、拓宽公开渠道、细化公开内容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做好本年度政务公开工作</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主动公开。20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年，利用聊城</w:t>
      </w:r>
      <w:r>
        <w:rPr>
          <w:rFonts w:hint="eastAsia" w:ascii="仿宋_GB2312" w:hAnsi="仿宋_GB2312" w:eastAsia="仿宋_GB2312" w:cs="仿宋_GB2312"/>
          <w:sz w:val="32"/>
          <w:szCs w:val="32"/>
          <w:lang w:val="en-US" w:eastAsia="zh-CN"/>
        </w:rPr>
        <w:t>市文化和旅游局官网</w:t>
      </w:r>
      <w:r>
        <w:rPr>
          <w:rFonts w:hint="eastAsia" w:ascii="仿宋_GB2312" w:hAnsi="仿宋_GB2312" w:eastAsia="仿宋_GB2312" w:cs="仿宋_GB2312"/>
          <w:sz w:val="32"/>
          <w:szCs w:val="32"/>
        </w:rPr>
        <w:t>、聊城市政府信息公开平台、</w:t>
      </w:r>
      <w:r>
        <w:rPr>
          <w:rFonts w:hint="eastAsia" w:ascii="仿宋_GB2312" w:hAnsi="仿宋_GB2312" w:eastAsia="仿宋_GB2312" w:cs="仿宋_GB2312"/>
          <w:sz w:val="32"/>
          <w:szCs w:val="32"/>
          <w:lang w:val="en-US" w:eastAsia="zh-CN"/>
        </w:rPr>
        <w:t>文旅聊城官方</w:t>
      </w:r>
      <w:r>
        <w:rPr>
          <w:rFonts w:hint="eastAsia" w:ascii="仿宋_GB2312" w:hAnsi="仿宋_GB2312" w:eastAsia="仿宋_GB2312" w:cs="仿宋_GB2312"/>
          <w:sz w:val="32"/>
          <w:szCs w:val="32"/>
        </w:rPr>
        <w:t>微博微信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文旅聊城抖音</w:t>
      </w:r>
      <w:r>
        <w:rPr>
          <w:rFonts w:hint="eastAsia" w:ascii="仿宋_GB2312" w:hAnsi="仿宋_GB2312" w:eastAsia="仿宋_GB2312" w:cs="仿宋_GB2312"/>
          <w:sz w:val="32"/>
          <w:szCs w:val="32"/>
        </w:rPr>
        <w:t>平台</w:t>
      </w:r>
      <w:r>
        <w:rPr>
          <w:rFonts w:hint="eastAsia" w:ascii="仿宋_GB2312" w:hAnsi="仿宋_GB2312" w:eastAsia="仿宋_GB2312" w:cs="仿宋_GB2312"/>
          <w:sz w:val="32"/>
          <w:szCs w:val="32"/>
          <w:lang w:eastAsia="zh-CN"/>
        </w:rPr>
        <w:t>、视频号</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主动发布</w:t>
      </w:r>
      <w:r>
        <w:rPr>
          <w:rFonts w:hint="eastAsia" w:ascii="仿宋_GB2312" w:hAnsi="仿宋_GB2312" w:eastAsia="仿宋_GB2312" w:cs="仿宋_GB2312"/>
          <w:color w:val="auto"/>
          <w:sz w:val="32"/>
          <w:szCs w:val="32"/>
          <w:lang w:val="en-US" w:eastAsia="zh-CN"/>
        </w:rPr>
        <w:t>文旅</w:t>
      </w:r>
      <w:r>
        <w:rPr>
          <w:rFonts w:hint="eastAsia" w:ascii="仿宋_GB2312" w:hAnsi="仿宋_GB2312" w:eastAsia="仿宋_GB2312" w:cs="仿宋_GB2312"/>
          <w:color w:val="auto"/>
          <w:sz w:val="32"/>
          <w:szCs w:val="32"/>
        </w:rPr>
        <w:t>信息1.2万余条</w:t>
      </w:r>
      <w:r>
        <w:rPr>
          <w:rFonts w:hint="eastAsia" w:ascii="仿宋_GB2312" w:hAnsi="仿宋_GB2312" w:eastAsia="仿宋_GB2312" w:cs="仿宋_GB2312"/>
          <w:sz w:val="32"/>
          <w:szCs w:val="32"/>
        </w:rPr>
        <w:t>，满足群众对政府信息的获取需求。</w:t>
      </w:r>
      <w:r>
        <w:rPr>
          <w:rFonts w:hint="eastAsia" w:ascii="仿宋_GB2312" w:hAnsi="仿宋_GB2312" w:eastAsia="仿宋_GB2312" w:cs="仿宋_GB2312"/>
          <w:sz w:val="32"/>
          <w:szCs w:val="32"/>
          <w:lang w:eastAsia="zh-CN"/>
        </w:rPr>
        <w:t>参加新闻发布会</w:t>
      </w:r>
      <w:r>
        <w:rPr>
          <w:rFonts w:hint="eastAsia" w:ascii="仿宋_GB2312" w:hAnsi="仿宋_GB2312" w:eastAsia="仿宋_GB2312" w:cs="仿宋_GB2312"/>
          <w:sz w:val="32"/>
          <w:szCs w:val="32"/>
          <w:lang w:val="en-US" w:eastAsia="zh-CN"/>
        </w:rPr>
        <w:t>7次，12345市长热线</w:t>
      </w:r>
      <w:r>
        <w:rPr>
          <w:rFonts w:hint="default" w:ascii="仿宋_GB2312" w:hAnsi="仿宋_GB2312" w:eastAsia="仿宋_GB2312" w:cs="仿宋_GB2312"/>
          <w:sz w:val="32"/>
          <w:szCs w:val="32"/>
          <w:lang w:val="en" w:eastAsia="zh-CN"/>
        </w:rPr>
        <w:t>2</w:t>
      </w:r>
      <w:r>
        <w:rPr>
          <w:rFonts w:hint="eastAsia" w:ascii="仿宋_GB2312" w:hAnsi="仿宋_GB2312" w:eastAsia="仿宋_GB2312" w:cs="仿宋_GB2312"/>
          <w:sz w:val="32"/>
          <w:szCs w:val="32"/>
          <w:lang w:val="en-US" w:eastAsia="zh-CN"/>
        </w:rPr>
        <w:t>次，正风行风热线</w:t>
      </w:r>
      <w:r>
        <w:rPr>
          <w:rFonts w:hint="default" w:ascii="仿宋_GB2312" w:hAnsi="仿宋_GB2312" w:eastAsia="仿宋_GB2312" w:cs="仿宋_GB2312"/>
          <w:sz w:val="32"/>
          <w:szCs w:val="32"/>
          <w:lang w:val="en" w:eastAsia="zh-CN"/>
        </w:rPr>
        <w:t>2</w:t>
      </w:r>
      <w:r>
        <w:rPr>
          <w:rFonts w:hint="eastAsia" w:ascii="仿宋_GB2312" w:hAnsi="仿宋_GB2312" w:eastAsia="仿宋_GB2312" w:cs="仿宋_GB2312"/>
          <w:sz w:val="32"/>
          <w:szCs w:val="32"/>
          <w:lang w:val="en-US" w:eastAsia="zh-CN"/>
        </w:rPr>
        <w:t>次，</w:t>
      </w:r>
      <w:r>
        <w:rPr>
          <w:rFonts w:hint="eastAsia" w:ascii="仿宋_GB2312" w:hAnsi="仿宋_GB2312" w:eastAsia="仿宋_GB2312" w:cs="仿宋_GB2312"/>
          <w:sz w:val="32"/>
          <w:szCs w:val="32"/>
        </w:rPr>
        <w:t>加强与群众的交流互动，</w:t>
      </w:r>
      <w:r>
        <w:rPr>
          <w:rFonts w:hint="eastAsia" w:ascii="仿宋_GB2312" w:hAnsi="仿宋_GB2312" w:eastAsia="仿宋_GB2312" w:cs="仿宋_GB2312"/>
          <w:sz w:val="32"/>
          <w:szCs w:val="32"/>
          <w:lang w:eastAsia="zh-CN"/>
        </w:rPr>
        <w:t>回应群众关切，</w:t>
      </w:r>
      <w:r>
        <w:rPr>
          <w:rFonts w:hint="eastAsia" w:ascii="仿宋_GB2312" w:hAnsi="仿宋_GB2312" w:eastAsia="仿宋_GB2312" w:cs="仿宋_GB2312"/>
          <w:sz w:val="32"/>
          <w:szCs w:val="32"/>
        </w:rPr>
        <w:t>对群众关心的热点问题进行全面细致的解读回应。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（二）依申请公开。严格依申请公开的办理程序，坚持第一时间受理、第一时间办结。</w:t>
      </w:r>
      <w:r>
        <w:rPr>
          <w:rFonts w:hint="eastAsia"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rPr>
        <w:t>年度，共收到政府信息依申</w:t>
      </w:r>
      <w:r>
        <w:rPr>
          <w:rFonts w:hint="eastAsia" w:ascii="仿宋_GB2312" w:hAnsi="仿宋_GB2312" w:eastAsia="仿宋_GB2312" w:cs="仿宋_GB2312"/>
          <w:color w:val="auto"/>
          <w:sz w:val="32"/>
          <w:szCs w:val="32"/>
        </w:rPr>
        <w:t>请公开</w:t>
      </w:r>
      <w:r>
        <w:rPr>
          <w:rFonts w:hint="default" w:ascii="仿宋_GB2312" w:hAnsi="仿宋_GB2312" w:eastAsia="仿宋_GB2312" w:cs="仿宋_GB2312"/>
          <w:color w:val="auto"/>
          <w:sz w:val="32"/>
          <w:szCs w:val="32"/>
          <w:lang w:val="en" w:eastAsia="zh-CN"/>
        </w:rPr>
        <w:t>2</w:t>
      </w:r>
      <w:r>
        <w:rPr>
          <w:rFonts w:hint="eastAsia" w:ascii="仿宋_GB2312" w:hAnsi="仿宋_GB2312" w:eastAsia="仿宋_GB2312" w:cs="仿宋_GB2312"/>
          <w:color w:val="auto"/>
          <w:sz w:val="32"/>
          <w:szCs w:val="32"/>
        </w:rPr>
        <w:t>件，</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rPr>
        <w:t>在规定时间内</w:t>
      </w:r>
      <w:r>
        <w:rPr>
          <w:rFonts w:hint="eastAsia" w:ascii="仿宋_GB2312" w:hAnsi="仿宋_GB2312" w:eastAsia="仿宋_GB2312" w:cs="仿宋_GB2312"/>
          <w:sz w:val="32"/>
          <w:szCs w:val="32"/>
          <w:lang w:val="en-US" w:eastAsia="zh-CN"/>
        </w:rPr>
        <w:t>予以</w:t>
      </w:r>
      <w:r>
        <w:rPr>
          <w:rFonts w:hint="eastAsia" w:ascii="仿宋_GB2312" w:hAnsi="仿宋_GB2312" w:eastAsia="仿宋_GB2312" w:cs="仿宋_GB2312"/>
          <w:sz w:val="32"/>
          <w:szCs w:val="32"/>
        </w:rPr>
        <w:t>答复。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（三）政府信息管理。严格按照信息发布审查制度要求，对发布信息进行保密审查，</w:t>
      </w:r>
      <w:r>
        <w:rPr>
          <w:rFonts w:hint="eastAsia" w:ascii="仿宋_GB2312" w:hAnsi="仿宋_GB2312" w:eastAsia="仿宋_GB2312" w:cs="仿宋_GB2312"/>
          <w:sz w:val="32"/>
          <w:szCs w:val="32"/>
          <w:lang w:val="en-US" w:eastAsia="zh-CN"/>
        </w:rPr>
        <w:t>按照“谁制作谁负责”的原则，</w:t>
      </w:r>
      <w:r>
        <w:rPr>
          <w:rFonts w:hint="eastAsia" w:ascii="仿宋_GB2312" w:hAnsi="仿宋_GB2312" w:eastAsia="仿宋_GB2312" w:cs="仿宋_GB2312"/>
          <w:sz w:val="32"/>
          <w:szCs w:val="32"/>
        </w:rPr>
        <w:t>由信息制作科室负责人和分管领导审核</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rPr>
        <w:t>后，填报信息发布审批表，报信息发布负责科室后由专人统一发布，确保公开事项一事一审、全面审查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保证发布内容准确、不涉密</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（四）平台建设。</w:t>
      </w:r>
      <w:r>
        <w:rPr>
          <w:rFonts w:hint="eastAsia" w:ascii="仿宋_GB2312" w:hAnsi="仿宋_GB2312" w:eastAsia="仿宋_GB2312" w:cs="仿宋_GB2312"/>
          <w:sz w:val="32"/>
          <w:szCs w:val="32"/>
          <w:lang w:val="en-US" w:eastAsia="zh-CN"/>
        </w:rPr>
        <w:t>2021年</w:t>
      </w:r>
      <w:r>
        <w:rPr>
          <w:rFonts w:hint="eastAsia" w:ascii="仿宋_GB2312" w:hAnsi="仿宋_GB2312" w:eastAsia="仿宋_GB2312" w:cs="仿宋_GB2312"/>
          <w:sz w:val="32"/>
          <w:szCs w:val="32"/>
        </w:rPr>
        <w:t>结合政府信息公开工作要求和工作实际，</w:t>
      </w:r>
      <w:r>
        <w:rPr>
          <w:rFonts w:hint="eastAsia" w:ascii="仿宋_GB2312" w:hAnsi="仿宋_GB2312" w:eastAsia="仿宋_GB2312" w:cs="仿宋_GB2312"/>
          <w:sz w:val="32"/>
          <w:szCs w:val="32"/>
          <w:lang w:val="en-US" w:eastAsia="zh-CN"/>
        </w:rPr>
        <w:t>我局加强新媒体宣传矩阵建设，除官方</w:t>
      </w:r>
      <w:r>
        <w:rPr>
          <w:rFonts w:hint="eastAsia" w:ascii="仿宋_GB2312" w:hAnsi="仿宋_GB2312" w:eastAsia="仿宋_GB2312" w:cs="仿宋_GB2312"/>
          <w:sz w:val="32"/>
          <w:szCs w:val="32"/>
        </w:rPr>
        <w:t>网站、官方APP</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微信公众号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微博</w:t>
      </w:r>
      <w:r>
        <w:rPr>
          <w:rFonts w:hint="eastAsia" w:ascii="仿宋_GB2312" w:hAnsi="仿宋_GB2312" w:eastAsia="仿宋_GB2312" w:cs="仿宋_GB2312"/>
          <w:sz w:val="32"/>
          <w:szCs w:val="32"/>
          <w:lang w:val="en-US" w:eastAsia="zh-CN"/>
        </w:rPr>
        <w:t>外，还开通了</w:t>
      </w:r>
      <w:r>
        <w:rPr>
          <w:rFonts w:hint="eastAsia" w:ascii="仿宋_GB2312" w:hAnsi="仿宋_GB2312" w:eastAsia="仿宋_GB2312" w:cs="仿宋_GB2312"/>
          <w:sz w:val="32"/>
          <w:szCs w:val="32"/>
        </w:rPr>
        <w:t>“文旅聊城”抖音号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今日头条号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快手号、微视号、央视频、马蜂窝</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秒拍、梨视频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“探索聊城”小程序等</w:t>
      </w:r>
      <w:r>
        <w:rPr>
          <w:rFonts w:hint="eastAsia" w:ascii="仿宋_GB2312" w:hAnsi="仿宋_GB2312" w:eastAsia="仿宋_GB2312" w:cs="仿宋_GB2312"/>
          <w:sz w:val="32"/>
          <w:szCs w:val="32"/>
          <w:lang w:val="en-US" w:eastAsia="zh-CN"/>
        </w:rPr>
        <w:t>新媒体</w:t>
      </w:r>
      <w:r>
        <w:rPr>
          <w:rFonts w:hint="eastAsia" w:ascii="仿宋_GB2312" w:hAnsi="仿宋_GB2312" w:eastAsia="仿宋_GB2312" w:cs="仿宋_GB2312"/>
          <w:sz w:val="32"/>
          <w:szCs w:val="32"/>
        </w:rPr>
        <w:t>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满足群众对文化和旅游信息的新需求</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303780" cy="4985385"/>
            <wp:effectExtent l="0" t="0" r="1270" b="5715"/>
            <wp:docPr id="6" name="图片 6" descr="216220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216220134"/>
                    <pic:cNvPicPr>
                      <a:picLocks noChangeAspect="true"/>
                    </pic:cNvPicPr>
                  </pic:nvPicPr>
                  <pic:blipFill>
                    <a:blip r:embed="rId5"/>
                    <a:stretch>
                      <a:fillRect/>
                    </a:stretch>
                  </pic:blipFill>
                  <pic:spPr>
                    <a:xfrm>
                      <a:off x="0" y="0"/>
                      <a:ext cx="2303780" cy="498538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2367915" cy="5123815"/>
            <wp:effectExtent l="0" t="0" r="13335" b="635"/>
            <wp:docPr id="5" name="图片 5" descr="6925529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692552982"/>
                    <pic:cNvPicPr>
                      <a:picLocks noChangeAspect="true"/>
                    </pic:cNvPicPr>
                  </pic:nvPicPr>
                  <pic:blipFill>
                    <a:blip r:embed="rId6"/>
                    <a:stretch>
                      <a:fillRect/>
                    </a:stretch>
                  </pic:blipFill>
                  <pic:spPr>
                    <a:xfrm>
                      <a:off x="0" y="0"/>
                      <a:ext cx="2367915" cy="5123815"/>
                    </a:xfrm>
                    <a:prstGeom prst="rect">
                      <a:avLst/>
                    </a:prstGeom>
                  </pic:spPr>
                </pic:pic>
              </a:graphicData>
            </a:graphic>
          </wp:inline>
        </w:drawing>
      </w:r>
      <w:bookmarkStart w:id="0" w:name="_GoBack"/>
      <w:r>
        <w:rPr>
          <w:rFonts w:hint="eastAsia" w:ascii="仿宋_GB2312" w:hAnsi="仿宋_GB2312" w:eastAsia="仿宋_GB2312" w:cs="仿宋_GB2312"/>
          <w:sz w:val="32"/>
          <w:szCs w:val="32"/>
          <w:lang w:eastAsia="zh-CN"/>
        </w:rPr>
        <w:drawing>
          <wp:inline distT="0" distB="0" distL="114300" distR="114300">
            <wp:extent cx="2719705" cy="5885180"/>
            <wp:effectExtent l="0" t="0" r="4445" b="1270"/>
            <wp:docPr id="4" name="图片 4" descr="18546978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1854697818"/>
                    <pic:cNvPicPr>
                      <a:picLocks noChangeAspect="true"/>
                    </pic:cNvPicPr>
                  </pic:nvPicPr>
                  <pic:blipFill>
                    <a:blip r:embed="rId7"/>
                    <a:stretch>
                      <a:fillRect/>
                    </a:stretch>
                  </pic:blipFill>
                  <pic:spPr>
                    <a:xfrm>
                      <a:off x="0" y="0"/>
                      <a:ext cx="2719705" cy="5885180"/>
                    </a:xfrm>
                    <a:prstGeom prst="rect">
                      <a:avLst/>
                    </a:prstGeom>
                  </pic:spPr>
                </pic:pic>
              </a:graphicData>
            </a:graphic>
          </wp:inline>
        </w:drawing>
      </w:r>
      <w:bookmarkEnd w:id="0"/>
      <w:r>
        <w:rPr>
          <w:rFonts w:hint="eastAsia" w:ascii="仿宋_GB2312" w:hAnsi="仿宋_GB2312" w:eastAsia="仿宋_GB2312" w:cs="仿宋_GB2312"/>
          <w:sz w:val="32"/>
          <w:szCs w:val="32"/>
          <w:lang w:eastAsia="zh-CN"/>
        </w:rPr>
        <w:drawing>
          <wp:inline distT="0" distB="0" distL="114300" distR="114300">
            <wp:extent cx="2527935" cy="4496435"/>
            <wp:effectExtent l="0" t="0" r="5715" b="18415"/>
            <wp:docPr id="3" name="图片 3"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true"/>
                    </pic:cNvPicPr>
                  </pic:nvPicPr>
                  <pic:blipFill>
                    <a:blip r:embed="rId8"/>
                    <a:stretch>
                      <a:fillRect/>
                    </a:stretch>
                  </pic:blipFill>
                  <pic:spPr>
                    <a:xfrm>
                      <a:off x="0" y="0"/>
                      <a:ext cx="2527935" cy="44964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cs="宋体"/>
        </w:rPr>
      </w:pPr>
      <w:r>
        <w:rPr>
          <w:rFonts w:hint="eastAsia" w:ascii="仿宋_GB2312" w:hAnsi="仿宋_GB2312" w:eastAsia="仿宋_GB2312" w:cs="仿宋_GB2312"/>
          <w:sz w:val="32"/>
          <w:szCs w:val="32"/>
        </w:rPr>
        <w:t>（五）监督保障。按照政府信息公开工作要求和工作实际，</w:t>
      </w:r>
      <w:r>
        <w:rPr>
          <w:rFonts w:hint="eastAsia" w:ascii="仿宋_GB2312" w:hAnsi="仿宋_GB2312" w:eastAsia="仿宋_GB2312" w:cs="仿宋_GB2312"/>
          <w:sz w:val="32"/>
          <w:szCs w:val="32"/>
          <w:lang w:val="en-US" w:eastAsia="zh-CN"/>
        </w:rPr>
        <w:t>重新调整了市文化和旅游局政务</w:t>
      </w:r>
      <w:r>
        <w:rPr>
          <w:rFonts w:hint="eastAsia" w:ascii="仿宋_GB2312" w:hAnsi="仿宋_GB2312" w:eastAsia="仿宋_GB2312" w:cs="仿宋_GB2312"/>
          <w:sz w:val="32"/>
          <w:szCs w:val="32"/>
        </w:rPr>
        <w:t>公开工作领导小组，</w:t>
      </w:r>
      <w:r>
        <w:rPr>
          <w:rFonts w:hint="eastAsia" w:ascii="仿宋_GB2312" w:hAnsi="仿宋_GB2312" w:eastAsia="仿宋_GB2312" w:cs="仿宋_GB2312"/>
          <w:sz w:val="32"/>
          <w:szCs w:val="32"/>
          <w:lang w:val="en-US" w:eastAsia="zh-CN"/>
        </w:rPr>
        <w:t>局长周江涛同志</w:t>
      </w:r>
      <w:r>
        <w:rPr>
          <w:rFonts w:hint="eastAsia" w:ascii="仿宋_GB2312" w:hAnsi="仿宋_GB2312" w:eastAsia="仿宋_GB2312" w:cs="仿宋_GB2312"/>
          <w:sz w:val="32"/>
          <w:szCs w:val="32"/>
        </w:rPr>
        <w:t>为组长，</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rPr>
        <w:t>分管领导为副组长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科室（单位）负责人为成员，按照政务公开工作分工研究本科室（单位）政务公开工作具体问题，并及时报送公开信息。办公室为政府信息公开工作的具体负责部门，负责组织、督促、协调、检查全局的政务公开工作，抓好政府信息公开工作各项工作制度落实、落地。</w:t>
      </w:r>
    </w:p>
    <w:p>
      <w:pPr>
        <w:pStyle w:val="6"/>
        <w:widowControl/>
        <w:spacing w:before="0" w:beforeAutospacing="0" w:after="0" w:afterAutospacing="0"/>
        <w:ind w:firstLine="420"/>
        <w:jc w:val="both"/>
        <w:rPr>
          <w:rFonts w:hint="eastAsia" w:ascii="宋体" w:hAnsi="宋体" w:cs="宋体"/>
        </w:rPr>
      </w:pPr>
      <w:r>
        <w:rPr>
          <w:rFonts w:hint="eastAsia" w:ascii="CESI黑体-GB2312" w:hAnsi="CESI黑体-GB2312" w:eastAsia="CESI黑体-GB2312" w:cs="CESI黑体-GB2312"/>
          <w:b w:val="0"/>
          <w:bCs w:val="0"/>
          <w:sz w:val="32"/>
          <w:szCs w:val="32"/>
        </w:rPr>
        <w:t>二、主动公开政府信息情况</w:t>
      </w:r>
    </w:p>
    <w:tbl>
      <w:tblPr>
        <w:tblStyle w:val="7"/>
        <w:tblW w:w="9740" w:type="dxa"/>
        <w:jc w:val="center"/>
        <w:tblLayout w:type="fixed"/>
        <w:tblCellMar>
          <w:top w:w="0" w:type="dxa"/>
          <w:left w:w="0" w:type="dxa"/>
          <w:bottom w:w="0" w:type="dxa"/>
          <w:right w:w="0" w:type="dxa"/>
        </w:tblCellMar>
      </w:tblPr>
      <w:tblGrid>
        <w:gridCol w:w="2435"/>
        <w:gridCol w:w="2435"/>
        <w:gridCol w:w="2435"/>
        <w:gridCol w:w="2435"/>
      </w:tblGrid>
      <w:tr>
        <w:tblPrEx>
          <w:tblCellMar>
            <w:top w:w="0" w:type="dxa"/>
            <w:left w:w="0" w:type="dxa"/>
            <w:bottom w:w="0" w:type="dxa"/>
            <w:right w:w="0" w:type="dxa"/>
          </w:tblCellMar>
        </w:tblPrEx>
        <w:trPr>
          <w:trHeight w:val="340" w:hRule="atLeast"/>
          <w:jc w:val="center"/>
        </w:trPr>
        <w:tc>
          <w:tcPr>
            <w:tcW w:w="9740" w:type="dxa"/>
            <w:gridSpan w:val="4"/>
            <w:tcBorders>
              <w:top w:val="single" w:color="auto" w:sz="8" w:space="0"/>
              <w:left w:val="single" w:color="auto" w:sz="8" w:space="0"/>
              <w:bottom w:val="single" w:color="auto" w:sz="8" w:space="0"/>
              <w:right w:val="single" w:color="auto" w:sz="8" w:space="0"/>
            </w:tcBorders>
            <w:shd w:val="clear" w:color="auto" w:fill="C6D9F1"/>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第二十条第（一）项</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信息内容</w:t>
            </w:r>
          </w:p>
        </w:tc>
        <w:tc>
          <w:tcPr>
            <w:tcW w:w="2435" w:type="dxa"/>
            <w:tcBorders>
              <w:top w:val="single" w:color="auto" w:sz="8" w:space="0"/>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本年</w:t>
            </w:r>
            <w:r>
              <w:rPr>
                <w:rFonts w:hint="eastAsia" w:ascii="宋体" w:hAnsi="宋体" w:cs="宋体"/>
                <w:kern w:val="0"/>
                <w:sz w:val="20"/>
                <w:szCs w:val="20"/>
                <w:lang w:bidi="ar"/>
              </w:rPr>
              <w:t>制发件数</w:t>
            </w:r>
          </w:p>
        </w:tc>
        <w:tc>
          <w:tcPr>
            <w:tcW w:w="2435" w:type="dxa"/>
            <w:tcBorders>
              <w:top w:val="single" w:color="auto" w:sz="8" w:space="0"/>
              <w:left w:val="nil"/>
              <w:bottom w:val="single" w:color="auto" w:sz="8" w:space="0"/>
              <w:right w:val="single" w:color="auto" w:sz="4"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本年废止件数</w:t>
            </w:r>
          </w:p>
        </w:tc>
        <w:tc>
          <w:tcPr>
            <w:tcW w:w="2435" w:type="dxa"/>
            <w:tcBorders>
              <w:top w:val="single" w:color="auto" w:sz="8" w:space="0"/>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现行有效件</w:t>
            </w:r>
            <w:r>
              <w:rPr>
                <w:rFonts w:hint="eastAsia" w:ascii="宋体" w:hAnsi="宋体" w:cs="宋体"/>
                <w:kern w:val="0"/>
                <w:sz w:val="20"/>
                <w:szCs w:val="20"/>
                <w:lang w:bidi="ar"/>
              </w:rPr>
              <w:t>数</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pPr>
            <w:r>
              <w:rPr>
                <w:rFonts w:hint="eastAsia" w:ascii="宋体" w:hAnsi="宋体" w:cs="宋体"/>
                <w:color w:val="000000"/>
                <w:kern w:val="0"/>
                <w:sz w:val="20"/>
                <w:szCs w:val="20"/>
                <w:lang w:bidi="ar"/>
              </w:rPr>
              <w:t>规章</w:t>
            </w:r>
          </w:p>
        </w:tc>
        <w:tc>
          <w:tcPr>
            <w:tcW w:w="2435" w:type="dxa"/>
            <w:tcBorders>
              <w:top w:val="nil"/>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rPr>
                <w:rFonts w:hint="eastAsia" w:eastAsiaTheme="minorEastAsia"/>
                <w:lang w:val="en-US" w:eastAsia="zh-CN"/>
              </w:rPr>
            </w:pPr>
            <w:r>
              <w:rPr>
                <w:rFonts w:hint="eastAsia" w:ascii="宋体" w:hAnsi="宋体" w:cs="宋体"/>
                <w:color w:val="000000"/>
                <w:kern w:val="0"/>
                <w:sz w:val="20"/>
                <w:szCs w:val="20"/>
                <w:lang w:bidi="ar"/>
              </w:rPr>
              <w:t>　　</w:t>
            </w:r>
            <w:r>
              <w:rPr>
                <w:rFonts w:hint="eastAsia" w:ascii="宋体" w:hAnsi="宋体" w:cs="宋体"/>
                <w:color w:val="000000"/>
                <w:kern w:val="0"/>
                <w:sz w:val="20"/>
                <w:szCs w:val="20"/>
                <w:lang w:val="en-US" w:eastAsia="zh-CN" w:bidi="ar"/>
              </w:rPr>
              <w:t>0</w:t>
            </w:r>
          </w:p>
        </w:tc>
        <w:tc>
          <w:tcPr>
            <w:tcW w:w="2435" w:type="dxa"/>
            <w:tcBorders>
              <w:top w:val="nil"/>
              <w:left w:val="nil"/>
              <w:bottom w:val="single" w:color="auto" w:sz="8" w:space="0"/>
              <w:right w:val="single" w:color="auto" w:sz="4" w:space="0"/>
            </w:tcBorders>
            <w:shd w:val="clear" w:color="auto" w:fill="auto"/>
            <w:noWrap w:val="0"/>
            <w:tcMar>
              <w:left w:w="57" w:type="dxa"/>
              <w:right w:w="57" w:type="dxa"/>
            </w:tcMar>
            <w:vAlign w:val="center"/>
          </w:tcPr>
          <w:p>
            <w:pPr>
              <w:widowControl/>
              <w:spacing w:before="100" w:beforeAutospacing="1"/>
              <w:jc w:val="left"/>
              <w:rPr>
                <w:rFonts w:hint="eastAsia" w:eastAsiaTheme="minorEastAsia"/>
                <w:lang w:val="en-US" w:eastAsia="zh-CN"/>
              </w:rPr>
            </w:pPr>
            <w:r>
              <w:rPr>
                <w:rFonts w:hint="eastAsia" w:ascii="宋体" w:hAnsi="宋体" w:cs="宋体"/>
                <w:color w:val="000000"/>
                <w:kern w:val="0"/>
                <w:sz w:val="20"/>
                <w:szCs w:val="20"/>
                <w:lang w:bidi="ar"/>
              </w:rPr>
              <w:t> 　</w:t>
            </w:r>
            <w:r>
              <w:rPr>
                <w:rFonts w:hint="eastAsia" w:ascii="宋体" w:hAnsi="宋体" w:cs="宋体"/>
                <w:color w:val="000000"/>
                <w:kern w:val="0"/>
                <w:sz w:val="20"/>
                <w:szCs w:val="20"/>
                <w:lang w:val="en-US" w:eastAsia="zh-CN" w:bidi="ar"/>
              </w:rPr>
              <w:t>0</w:t>
            </w:r>
          </w:p>
        </w:tc>
        <w:tc>
          <w:tcPr>
            <w:tcW w:w="2435" w:type="dxa"/>
            <w:tcBorders>
              <w:top w:val="nil"/>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rPr>
                <w:rFonts w:hint="eastAsia" w:eastAsiaTheme="minorEastAsia"/>
                <w:lang w:val="en-US" w:eastAsia="zh-CN"/>
              </w:rPr>
            </w:pPr>
            <w:r>
              <w:rPr>
                <w:rFonts w:hint="eastAsia" w:cs="Calibri"/>
                <w:szCs w:val="21"/>
                <w:lang w:val="en-US" w:eastAsia="zh-CN" w:bidi="ar"/>
              </w:rPr>
              <w:t>0</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pPr>
            <w:r>
              <w:rPr>
                <w:rFonts w:hint="eastAsia" w:ascii="宋体" w:hAnsi="宋体" w:cs="宋体"/>
                <w:color w:val="000000"/>
                <w:kern w:val="0"/>
                <w:sz w:val="20"/>
                <w:szCs w:val="20"/>
                <w:lang w:bidi="ar"/>
              </w:rPr>
              <w:t>行政规范性文件</w:t>
            </w:r>
          </w:p>
        </w:tc>
        <w:tc>
          <w:tcPr>
            <w:tcW w:w="2435" w:type="dxa"/>
            <w:tcBorders>
              <w:top w:val="nil"/>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rPr>
                <w:rFonts w:hint="eastAsia" w:eastAsiaTheme="minorEastAsia"/>
                <w:lang w:val="en-US" w:eastAsia="zh-CN"/>
              </w:rPr>
            </w:pPr>
            <w:r>
              <w:rPr>
                <w:rFonts w:hint="eastAsia" w:ascii="宋体" w:hAnsi="宋体" w:cs="宋体"/>
                <w:color w:val="000000"/>
                <w:kern w:val="0"/>
                <w:sz w:val="20"/>
                <w:szCs w:val="20"/>
                <w:lang w:bidi="ar"/>
              </w:rPr>
              <w:t>　　</w:t>
            </w:r>
            <w:r>
              <w:rPr>
                <w:rFonts w:hint="eastAsia" w:ascii="宋体" w:hAnsi="宋体" w:cs="宋体"/>
                <w:color w:val="000000"/>
                <w:kern w:val="0"/>
                <w:sz w:val="20"/>
                <w:szCs w:val="20"/>
                <w:lang w:val="en-US" w:eastAsia="zh-CN" w:bidi="ar"/>
              </w:rPr>
              <w:t>1</w:t>
            </w:r>
          </w:p>
        </w:tc>
        <w:tc>
          <w:tcPr>
            <w:tcW w:w="2435" w:type="dxa"/>
            <w:tcBorders>
              <w:top w:val="nil"/>
              <w:left w:val="nil"/>
              <w:bottom w:val="single" w:color="auto" w:sz="8" w:space="0"/>
              <w:right w:val="single" w:color="auto" w:sz="4" w:space="0"/>
            </w:tcBorders>
            <w:shd w:val="clear" w:color="auto" w:fill="auto"/>
            <w:noWrap w:val="0"/>
            <w:tcMar>
              <w:left w:w="57" w:type="dxa"/>
              <w:right w:w="57" w:type="dxa"/>
            </w:tcMar>
            <w:vAlign w:val="center"/>
          </w:tcPr>
          <w:p>
            <w:pPr>
              <w:widowControl/>
              <w:spacing w:before="100" w:beforeAutospacing="1"/>
              <w:jc w:val="left"/>
              <w:rPr>
                <w:rFonts w:hint="eastAsia" w:eastAsiaTheme="minorEastAsia"/>
                <w:lang w:val="en-US" w:eastAsia="zh-CN"/>
              </w:rPr>
            </w:pPr>
            <w:r>
              <w:rPr>
                <w:rFonts w:hint="eastAsia" w:ascii="宋体" w:hAnsi="宋体" w:cs="宋体"/>
                <w:color w:val="000000"/>
                <w:kern w:val="0"/>
                <w:sz w:val="20"/>
                <w:szCs w:val="20"/>
                <w:lang w:bidi="ar"/>
              </w:rPr>
              <w:t> 　</w:t>
            </w:r>
            <w:r>
              <w:rPr>
                <w:rFonts w:hint="eastAsia" w:ascii="宋体" w:hAnsi="宋体" w:cs="宋体"/>
                <w:color w:val="000000"/>
                <w:kern w:val="0"/>
                <w:sz w:val="20"/>
                <w:szCs w:val="20"/>
                <w:lang w:val="en-US" w:eastAsia="zh-CN" w:bidi="ar"/>
              </w:rPr>
              <w:t>1</w:t>
            </w:r>
          </w:p>
        </w:tc>
        <w:tc>
          <w:tcPr>
            <w:tcW w:w="2435" w:type="dxa"/>
            <w:tcBorders>
              <w:top w:val="nil"/>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rPr>
                <w:rFonts w:hint="eastAsia" w:eastAsiaTheme="minorEastAsia"/>
                <w:lang w:val="en-US" w:eastAsia="zh-CN"/>
              </w:rPr>
            </w:pPr>
            <w:r>
              <w:rPr>
                <w:rFonts w:hint="eastAsia" w:cs="Calibri"/>
                <w:szCs w:val="21"/>
                <w:lang w:val="en-US" w:eastAsia="zh-CN" w:bidi="ar"/>
              </w:rPr>
              <w:t>1</w:t>
            </w:r>
          </w:p>
        </w:tc>
      </w:tr>
      <w:tr>
        <w:tblPrEx>
          <w:tblCellMar>
            <w:top w:w="0" w:type="dxa"/>
            <w:left w:w="0" w:type="dxa"/>
            <w:bottom w:w="0" w:type="dxa"/>
            <w:right w:w="0" w:type="dxa"/>
          </w:tblCellMar>
        </w:tblPrEx>
        <w:trPr>
          <w:trHeight w:val="340"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第二十条第（五）项</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4"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信息内容</w:t>
            </w:r>
          </w:p>
        </w:tc>
        <w:tc>
          <w:tcPr>
            <w:tcW w:w="7305" w:type="dxa"/>
            <w:gridSpan w:val="3"/>
            <w:tcBorders>
              <w:top w:val="nil"/>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本年处理决定数量</w:t>
            </w:r>
          </w:p>
        </w:tc>
      </w:tr>
      <w:tr>
        <w:tblPrEx>
          <w:tblCellMar>
            <w:top w:w="0" w:type="dxa"/>
            <w:left w:w="0" w:type="dxa"/>
            <w:bottom w:w="0" w:type="dxa"/>
            <w:right w:w="0" w:type="dxa"/>
          </w:tblCellMar>
        </w:tblPrEx>
        <w:trPr>
          <w:trHeight w:val="340" w:hRule="atLeast"/>
          <w:jc w:val="center"/>
        </w:trPr>
        <w:tc>
          <w:tcPr>
            <w:tcW w:w="2435" w:type="dxa"/>
            <w:tcBorders>
              <w:top w:val="single" w:color="auto" w:sz="8" w:space="0"/>
              <w:left w:val="single" w:color="auto" w:sz="8" w:space="0"/>
              <w:bottom w:val="single" w:color="auto" w:sz="8" w:space="0"/>
              <w:right w:val="single" w:color="auto" w:sz="4" w:space="0"/>
            </w:tcBorders>
            <w:shd w:val="clear" w:color="auto" w:fill="auto"/>
            <w:noWrap w:val="0"/>
            <w:tcMar>
              <w:left w:w="57" w:type="dxa"/>
              <w:right w:w="57" w:type="dxa"/>
            </w:tcMar>
            <w:vAlign w:val="center"/>
          </w:tcPr>
          <w:p>
            <w:pPr>
              <w:widowControl/>
              <w:spacing w:before="100" w:beforeAutospacing="1"/>
              <w:jc w:val="left"/>
            </w:pPr>
            <w:r>
              <w:rPr>
                <w:rFonts w:hint="eastAsia" w:ascii="宋体" w:hAnsi="宋体" w:cs="宋体"/>
                <w:color w:val="000000"/>
                <w:kern w:val="0"/>
                <w:sz w:val="20"/>
                <w:szCs w:val="20"/>
                <w:lang w:bidi="ar"/>
              </w:rPr>
              <w:t>行政许可</w:t>
            </w:r>
          </w:p>
        </w:tc>
        <w:tc>
          <w:tcPr>
            <w:tcW w:w="7305" w:type="dxa"/>
            <w:gridSpan w:val="3"/>
            <w:tcBorders>
              <w:top w:val="single" w:color="auto" w:sz="8" w:space="0"/>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rPr>
                <w:rFonts w:hint="default" w:eastAsiaTheme="minorEastAsia"/>
                <w:lang w:val="en-US" w:eastAsia="zh-CN"/>
              </w:rPr>
            </w:pPr>
            <w:r>
              <w:rPr>
                <w:rFonts w:hint="eastAsia" w:cs="Calibri"/>
                <w:szCs w:val="21"/>
                <w:lang w:val="en-US" w:eastAsia="zh-CN" w:bidi="ar"/>
              </w:rPr>
              <w:t>235</w:t>
            </w:r>
          </w:p>
        </w:tc>
      </w:tr>
      <w:tr>
        <w:tblPrEx>
          <w:tblCellMar>
            <w:top w:w="0" w:type="dxa"/>
            <w:left w:w="0" w:type="dxa"/>
            <w:bottom w:w="0" w:type="dxa"/>
            <w:right w:w="0" w:type="dxa"/>
          </w:tblCellMar>
        </w:tblPrEx>
        <w:trPr>
          <w:trHeight w:val="340"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第二十条第（六）项</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信息内容</w:t>
            </w:r>
          </w:p>
        </w:tc>
        <w:tc>
          <w:tcPr>
            <w:tcW w:w="7305" w:type="dxa"/>
            <w:gridSpan w:val="3"/>
            <w:tcBorders>
              <w:top w:val="single" w:color="auto" w:sz="8" w:space="0"/>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本年处理决定数量</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pPr>
            <w:r>
              <w:rPr>
                <w:rFonts w:hint="eastAsia" w:ascii="宋体" w:hAnsi="宋体" w:cs="宋体"/>
                <w:color w:val="000000"/>
                <w:kern w:val="0"/>
                <w:sz w:val="20"/>
                <w:szCs w:val="20"/>
                <w:lang w:bidi="ar"/>
              </w:rPr>
              <w:t>行政处罚</w:t>
            </w:r>
          </w:p>
        </w:tc>
        <w:tc>
          <w:tcPr>
            <w:tcW w:w="7305" w:type="dxa"/>
            <w:gridSpan w:val="3"/>
            <w:tcBorders>
              <w:top w:val="nil"/>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rPr>
                <w:rFonts w:hint="default" w:eastAsiaTheme="minorEastAsia"/>
                <w:lang w:val="en-US" w:eastAsia="zh-CN"/>
              </w:rPr>
            </w:pPr>
            <w:r>
              <w:rPr>
                <w:rFonts w:hint="eastAsia" w:ascii="宋体" w:hAnsi="宋体" w:cs="宋体"/>
                <w:color w:val="000000"/>
                <w:kern w:val="0"/>
                <w:sz w:val="20"/>
                <w:szCs w:val="20"/>
                <w:lang w:bidi="ar"/>
              </w:rPr>
              <w:t>　</w:t>
            </w:r>
            <w:r>
              <w:rPr>
                <w:rFonts w:hint="eastAsia" w:ascii="宋体" w:hAnsi="宋体" w:cs="宋体"/>
                <w:color w:val="000000"/>
                <w:kern w:val="0"/>
                <w:sz w:val="20"/>
                <w:szCs w:val="20"/>
                <w:lang w:val="en-US" w:eastAsia="zh-CN" w:bidi="ar"/>
              </w:rPr>
              <w:t>79</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pPr>
            <w:r>
              <w:rPr>
                <w:rFonts w:hint="eastAsia" w:ascii="宋体" w:hAnsi="宋体" w:cs="宋体"/>
                <w:color w:val="000000"/>
                <w:kern w:val="0"/>
                <w:sz w:val="20"/>
                <w:szCs w:val="20"/>
                <w:lang w:bidi="ar"/>
              </w:rPr>
              <w:t>行政强制</w:t>
            </w:r>
          </w:p>
        </w:tc>
        <w:tc>
          <w:tcPr>
            <w:tcW w:w="7305" w:type="dxa"/>
            <w:gridSpan w:val="3"/>
            <w:tcBorders>
              <w:top w:val="nil"/>
              <w:left w:val="nil"/>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rPr>
                <w:rFonts w:hint="eastAsia" w:eastAsiaTheme="minorEastAsia"/>
                <w:lang w:val="en-US" w:eastAsia="zh-CN"/>
              </w:rPr>
            </w:pPr>
            <w:r>
              <w:rPr>
                <w:rFonts w:hint="eastAsia" w:ascii="宋体" w:hAnsi="宋体" w:cs="宋体"/>
                <w:color w:val="000000"/>
                <w:kern w:val="0"/>
                <w:sz w:val="20"/>
                <w:szCs w:val="20"/>
                <w:lang w:bidi="ar"/>
              </w:rPr>
              <w:t>　</w:t>
            </w:r>
            <w:r>
              <w:rPr>
                <w:rFonts w:hint="eastAsia" w:ascii="宋体" w:hAnsi="宋体" w:cs="宋体"/>
                <w:color w:val="000000"/>
                <w:kern w:val="0"/>
                <w:sz w:val="20"/>
                <w:szCs w:val="20"/>
                <w:lang w:val="en-US" w:eastAsia="zh-CN" w:bidi="ar"/>
              </w:rPr>
              <w:t>0</w:t>
            </w:r>
          </w:p>
        </w:tc>
      </w:tr>
      <w:tr>
        <w:tblPrEx>
          <w:tblCellMar>
            <w:top w:w="0" w:type="dxa"/>
            <w:left w:w="0" w:type="dxa"/>
            <w:bottom w:w="0" w:type="dxa"/>
            <w:right w:w="0" w:type="dxa"/>
          </w:tblCellMar>
        </w:tblPrEx>
        <w:trPr>
          <w:trHeight w:val="340"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第二十条第（八）项</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信息内容</w:t>
            </w:r>
          </w:p>
        </w:tc>
        <w:tc>
          <w:tcPr>
            <w:tcW w:w="7305" w:type="dxa"/>
            <w:gridSpan w:val="3"/>
            <w:tcBorders>
              <w:top w:val="nil"/>
              <w:left w:val="nil"/>
              <w:bottom w:val="single" w:color="auto" w:sz="8" w:space="0"/>
              <w:right w:val="single" w:color="000000" w:sz="8" w:space="0"/>
            </w:tcBorders>
            <w:shd w:val="clear" w:color="auto" w:fill="auto"/>
            <w:noWrap w:val="0"/>
            <w:tcMar>
              <w:left w:w="57" w:type="dxa"/>
              <w:right w:w="57" w:type="dxa"/>
            </w:tcMar>
            <w:vAlign w:val="center"/>
          </w:tcPr>
          <w:p>
            <w:pPr>
              <w:widowControl/>
              <w:spacing w:before="100" w:beforeAutospacing="1"/>
              <w:jc w:val="center"/>
            </w:pPr>
            <w:r>
              <w:rPr>
                <w:rFonts w:hint="eastAsia" w:ascii="宋体" w:hAnsi="宋体" w:cs="宋体"/>
                <w:color w:val="000000"/>
                <w:kern w:val="0"/>
                <w:sz w:val="20"/>
                <w:szCs w:val="20"/>
                <w:lang w:bidi="ar"/>
              </w:rPr>
              <w:t>本年收费金额（单位：万元）</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val="0"/>
            <w:tcMar>
              <w:left w:w="57" w:type="dxa"/>
              <w:right w:w="57" w:type="dxa"/>
            </w:tcMar>
            <w:vAlign w:val="center"/>
          </w:tcPr>
          <w:p>
            <w:pPr>
              <w:widowControl/>
              <w:spacing w:before="100" w:beforeAutospacing="1"/>
              <w:jc w:val="left"/>
            </w:pPr>
            <w:r>
              <w:rPr>
                <w:rFonts w:hint="eastAsia" w:ascii="宋体" w:hAnsi="宋体" w:cs="宋体"/>
                <w:color w:val="000000"/>
                <w:kern w:val="0"/>
                <w:sz w:val="20"/>
                <w:szCs w:val="20"/>
                <w:lang w:bidi="ar"/>
              </w:rPr>
              <w:t>行政事业性收费</w:t>
            </w:r>
          </w:p>
        </w:tc>
        <w:tc>
          <w:tcPr>
            <w:tcW w:w="7305" w:type="dxa"/>
            <w:gridSpan w:val="3"/>
            <w:tcBorders>
              <w:top w:val="nil"/>
              <w:left w:val="nil"/>
              <w:bottom w:val="single" w:color="auto" w:sz="8" w:space="0"/>
              <w:right w:val="single" w:color="000000" w:sz="8" w:space="0"/>
            </w:tcBorders>
            <w:shd w:val="clear" w:color="auto" w:fill="auto"/>
            <w:noWrap w:val="0"/>
            <w:tcMar>
              <w:left w:w="57" w:type="dxa"/>
              <w:right w:w="57" w:type="dxa"/>
            </w:tcMar>
            <w:vAlign w:val="center"/>
          </w:tcPr>
          <w:p>
            <w:pPr>
              <w:rPr>
                <w:rFonts w:hint="eastAsia" w:ascii="宋体" w:eastAsiaTheme="minorEastAsia"/>
                <w:sz w:val="24"/>
                <w:lang w:val="en-US" w:eastAsia="zh-CN"/>
              </w:rPr>
            </w:pPr>
            <w:r>
              <w:rPr>
                <w:rFonts w:hint="eastAsia" w:ascii="宋体"/>
                <w:sz w:val="24"/>
                <w:lang w:val="en-US" w:eastAsia="zh-CN"/>
              </w:rPr>
              <w:t>0</w:t>
            </w:r>
          </w:p>
        </w:tc>
      </w:tr>
    </w:tbl>
    <w:p>
      <w:pPr>
        <w:widowControl/>
        <w:jc w:val="left"/>
      </w:pPr>
    </w:p>
    <w:p>
      <w:pPr>
        <w:pStyle w:val="6"/>
        <w:widowControl/>
        <w:spacing w:before="0" w:beforeAutospacing="0" w:after="0" w:afterAutospacing="0"/>
        <w:ind w:firstLine="420"/>
        <w:jc w:val="both"/>
        <w:rPr>
          <w:rFonts w:hint="eastAsia" w:ascii="CESI黑体-GB2312" w:hAnsi="CESI黑体-GB2312" w:eastAsia="CESI黑体-GB2312" w:cs="CESI黑体-GB2312"/>
          <w:b w:val="0"/>
          <w:bCs w:val="0"/>
          <w:sz w:val="32"/>
          <w:szCs w:val="32"/>
        </w:rPr>
      </w:pPr>
      <w:r>
        <w:rPr>
          <w:rFonts w:hint="eastAsia" w:ascii="CESI黑体-GB2312" w:hAnsi="CESI黑体-GB2312" w:eastAsia="CESI黑体-GB2312" w:cs="CESI黑体-GB2312"/>
          <w:b w:val="0"/>
          <w:bCs w:val="0"/>
          <w:sz w:val="32"/>
          <w:szCs w:val="32"/>
        </w:rPr>
        <w:t>三、收到和处理政府信息公开申请情况</w:t>
      </w:r>
    </w:p>
    <w:p>
      <w:pPr>
        <w:pStyle w:val="6"/>
        <w:widowControl/>
        <w:spacing w:before="0" w:beforeAutospacing="0" w:after="0" w:afterAutospacing="0"/>
        <w:ind w:firstLine="420"/>
        <w:jc w:val="both"/>
        <w:rPr>
          <w:rFonts w:hint="eastAsia" w:ascii="宋体" w:hAnsi="宋体" w:cs="宋体"/>
        </w:rPr>
      </w:pPr>
    </w:p>
    <w:tbl>
      <w:tblPr>
        <w:tblStyle w:val="7"/>
        <w:tblW w:w="9748"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57" w:type="dxa"/>
          <w:bottom w:w="0" w:type="dxa"/>
          <w:right w:w="57" w:type="dxa"/>
        </w:tblCellMar>
      </w:tblPr>
      <w:tblGrid>
        <w:gridCol w:w="754"/>
        <w:gridCol w:w="921"/>
        <w:gridCol w:w="3257"/>
        <w:gridCol w:w="688"/>
        <w:gridCol w:w="688"/>
        <w:gridCol w:w="688"/>
        <w:gridCol w:w="688"/>
        <w:gridCol w:w="688"/>
        <w:gridCol w:w="688"/>
        <w:gridCol w:w="68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4932" w:type="dxa"/>
            <w:gridSpan w:val="3"/>
            <w:vMerge w:val="restart"/>
            <w:tcBorders>
              <w:top w:val="single" w:color="auto" w:sz="8" w:space="0"/>
              <w:left w:val="single" w:color="auto" w:sz="8" w:space="0"/>
              <w:bottom w:val="outset" w:color="auto" w:sz="6" w:space="0"/>
              <w:right w:val="single" w:color="auto" w:sz="8" w:space="0"/>
            </w:tcBorders>
            <w:shd w:val="clear" w:color="auto" w:fill="auto"/>
            <w:noWrap w:val="0"/>
            <w:tcMar>
              <w:left w:w="108" w:type="dxa"/>
              <w:right w:w="108" w:type="dxa"/>
            </w:tcMar>
            <w:vAlign w:val="center"/>
          </w:tcPr>
          <w:p>
            <w:pPr>
              <w:widowControl/>
              <w:spacing w:before="100" w:beforeAutospacing="1"/>
              <w:jc w:val="left"/>
            </w:pPr>
            <w:r>
              <w:rPr>
                <w:rFonts w:hint="eastAsia" w:ascii="楷体" w:hAnsi="楷体" w:eastAsia="楷体" w:cs="楷体"/>
                <w:kern w:val="0"/>
                <w:sz w:val="20"/>
                <w:szCs w:val="20"/>
                <w:lang w:bidi="ar"/>
              </w:rPr>
              <w:t>（本列数据的勾稽关系为：第一项加第二项之和，等于第三项加第四项之和）</w:t>
            </w:r>
          </w:p>
        </w:tc>
        <w:tc>
          <w:tcPr>
            <w:tcW w:w="4816" w:type="dxa"/>
            <w:gridSpan w:val="7"/>
            <w:tcBorders>
              <w:top w:val="single" w:color="auto" w:sz="8" w:space="0"/>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4932" w:type="dxa"/>
            <w:gridSpan w:val="3"/>
            <w:vMerge w:val="continue"/>
            <w:tcBorders>
              <w:top w:val="single" w:color="auto" w:sz="8" w:space="0"/>
              <w:left w:val="single" w:color="auto" w:sz="8" w:space="0"/>
              <w:bottom w:val="outset" w:color="auto" w:sz="6" w:space="0"/>
              <w:right w:val="single" w:color="auto" w:sz="8" w:space="0"/>
            </w:tcBorders>
            <w:shd w:val="clear" w:color="auto" w:fill="auto"/>
            <w:noWrap w:val="0"/>
            <w:tcMar>
              <w:left w:w="108" w:type="dxa"/>
              <w:right w:w="108" w:type="dxa"/>
            </w:tcMar>
            <w:vAlign w:val="center"/>
          </w:tcPr>
          <w:p>
            <w:pPr>
              <w:rPr>
                <w:rFonts w:hint="eastAsia" w:ascii="宋体"/>
                <w:sz w:val="24"/>
              </w:rPr>
            </w:pPr>
          </w:p>
        </w:tc>
        <w:tc>
          <w:tcPr>
            <w:tcW w:w="688" w:type="dxa"/>
            <w:vMerge w:val="restart"/>
            <w:tcBorders>
              <w:top w:val="single" w:color="auto" w:sz="0" w:space="0"/>
              <w:left w:val="single" w:color="auto" w:sz="0" w:space="0"/>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自然人</w:t>
            </w:r>
          </w:p>
        </w:tc>
        <w:tc>
          <w:tcPr>
            <w:tcW w:w="3440" w:type="dxa"/>
            <w:gridSpan w:val="5"/>
            <w:tcBorders>
              <w:top w:val="single" w:color="auto" w:sz="8" w:space="0"/>
              <w:left w:val="single" w:color="auto" w:sz="0" w:space="0"/>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法人或其他组织</w:t>
            </w:r>
          </w:p>
        </w:tc>
        <w:tc>
          <w:tcPr>
            <w:tcW w:w="688" w:type="dxa"/>
            <w:vMerge w:val="restart"/>
            <w:tcBorders>
              <w:top w:val="single" w:color="auto" w:sz="8" w:space="0"/>
              <w:left w:val="single" w:color="auto" w:sz="0" w:space="0"/>
              <w:bottom w:val="outset" w:color="auto" w:sz="6" w:space="0"/>
              <w:right w:val="single" w:color="auto" w:sz="8"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4932" w:type="dxa"/>
            <w:gridSpan w:val="3"/>
            <w:vMerge w:val="continue"/>
            <w:tcBorders>
              <w:top w:val="single" w:color="auto" w:sz="8" w:space="0"/>
              <w:left w:val="single" w:color="auto" w:sz="8" w:space="0"/>
              <w:bottom w:val="outset" w:color="auto" w:sz="6" w:space="0"/>
              <w:right w:val="single" w:color="auto" w:sz="8" w:space="0"/>
            </w:tcBorders>
            <w:shd w:val="clear" w:color="auto" w:fill="auto"/>
            <w:noWrap w:val="0"/>
            <w:tcMar>
              <w:left w:w="108" w:type="dxa"/>
              <w:right w:w="108" w:type="dxa"/>
            </w:tcMar>
            <w:vAlign w:val="center"/>
          </w:tcPr>
          <w:p>
            <w:pPr>
              <w:rPr>
                <w:rFonts w:hint="eastAsia" w:ascii="宋体"/>
                <w:sz w:val="24"/>
              </w:rPr>
            </w:pPr>
          </w:p>
        </w:tc>
        <w:tc>
          <w:tcPr>
            <w:tcW w:w="688" w:type="dxa"/>
            <w:vMerge w:val="continue"/>
            <w:tcBorders>
              <w:top w:val="single" w:color="auto" w:sz="0" w:space="0"/>
              <w:left w:val="single" w:color="auto" w:sz="0" w:space="0"/>
              <w:bottom w:val="single" w:color="auto" w:sz="8" w:space="0"/>
              <w:right w:val="single" w:color="auto" w:sz="8" w:space="0"/>
            </w:tcBorders>
            <w:shd w:val="clear" w:color="auto" w:fill="auto"/>
            <w:noWrap w:val="0"/>
            <w:vAlign w:val="center"/>
          </w:tcPr>
          <w:p>
            <w:pPr>
              <w:rPr>
                <w:rFonts w:hint="eastAsia" w:ascii="宋体"/>
                <w:sz w:val="24"/>
              </w:rPr>
            </w:pPr>
          </w:p>
        </w:tc>
        <w:tc>
          <w:tcPr>
            <w:tcW w:w="688" w:type="dxa"/>
            <w:tcBorders>
              <w:top w:val="single" w:color="auto" w:sz="0" w:space="0"/>
              <w:left w:val="single" w:color="auto" w:sz="0" w:space="0"/>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商业</w:t>
            </w:r>
          </w:p>
          <w:p>
            <w:pPr>
              <w:widowControl/>
              <w:spacing w:before="100" w:beforeAutospacing="1"/>
              <w:jc w:val="center"/>
            </w:pPr>
            <w:r>
              <w:rPr>
                <w:rFonts w:hint="eastAsia" w:ascii="宋体" w:hAnsi="宋体" w:cs="宋体"/>
                <w:kern w:val="0"/>
                <w:sz w:val="20"/>
                <w:szCs w:val="20"/>
                <w:lang w:bidi="ar"/>
              </w:rPr>
              <w:t>企业</w:t>
            </w:r>
          </w:p>
        </w:tc>
        <w:tc>
          <w:tcPr>
            <w:tcW w:w="688" w:type="dxa"/>
            <w:tcBorders>
              <w:top w:val="single" w:color="auto" w:sz="0" w:space="0"/>
              <w:left w:val="single" w:color="auto" w:sz="0" w:space="0"/>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科研</w:t>
            </w:r>
          </w:p>
          <w:p>
            <w:pPr>
              <w:widowControl/>
              <w:spacing w:before="100" w:beforeAutospacing="1"/>
              <w:jc w:val="center"/>
            </w:pPr>
            <w:r>
              <w:rPr>
                <w:rFonts w:hint="eastAsia" w:ascii="宋体" w:hAnsi="宋体" w:cs="宋体"/>
                <w:kern w:val="0"/>
                <w:sz w:val="20"/>
                <w:szCs w:val="20"/>
                <w:lang w:bidi="ar"/>
              </w:rPr>
              <w:t>机构</w:t>
            </w:r>
          </w:p>
        </w:tc>
        <w:tc>
          <w:tcPr>
            <w:tcW w:w="688" w:type="dxa"/>
            <w:tcBorders>
              <w:top w:val="single" w:color="auto" w:sz="8" w:space="0"/>
              <w:left w:val="single" w:color="auto" w:sz="0" w:space="0"/>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社会公益组织</w:t>
            </w:r>
          </w:p>
        </w:tc>
        <w:tc>
          <w:tcPr>
            <w:tcW w:w="688" w:type="dxa"/>
            <w:tcBorders>
              <w:top w:val="single" w:color="auto" w:sz="8" w:space="0"/>
              <w:left w:val="single" w:color="auto" w:sz="0" w:space="0"/>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法律服务机构</w:t>
            </w:r>
          </w:p>
        </w:tc>
        <w:tc>
          <w:tcPr>
            <w:tcW w:w="688" w:type="dxa"/>
            <w:tcBorders>
              <w:top w:val="single" w:color="auto" w:sz="8" w:space="0"/>
              <w:left w:val="single" w:color="auto" w:sz="0" w:space="0"/>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其他</w:t>
            </w:r>
          </w:p>
        </w:tc>
        <w:tc>
          <w:tcPr>
            <w:tcW w:w="688" w:type="dxa"/>
            <w:vMerge w:val="continue"/>
            <w:tcBorders>
              <w:top w:val="single" w:color="auto" w:sz="8"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4932" w:type="dxa"/>
            <w:gridSpan w:val="3"/>
            <w:tcBorders>
              <w:top w:val="nil"/>
              <w:left w:val="single" w:color="auto" w:sz="8" w:space="0"/>
              <w:bottom w:val="single" w:color="auto" w:sz="8"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一、本年新收政府信息公开申请数量</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val="en-US" w:eastAsia="zh-CN"/>
              </w:rPr>
            </w:pPr>
            <w:r>
              <w:rPr>
                <w:rFonts w:cs="Calibri"/>
                <w:kern w:val="0"/>
                <w:sz w:val="20"/>
                <w:szCs w:val="20"/>
                <w:lang w:bidi="ar"/>
              </w:rPr>
              <w:t> </w:t>
            </w:r>
            <w:r>
              <w:rPr>
                <w:rFonts w:hint="eastAsia" w:cs="Calibri"/>
                <w:kern w:val="0"/>
                <w:sz w:val="20"/>
                <w:szCs w:val="20"/>
                <w:lang w:val="en-US" w:eastAsia="zh-CN" w:bidi="ar"/>
              </w:rPr>
              <w:t>2</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rPr>
                <w:rFonts w:hint="eastAsia" w:eastAsiaTheme="minorEastAsia"/>
                <w:lang w:val="en-US" w:eastAsia="zh-CN"/>
              </w:rPr>
            </w:pPr>
            <w:r>
              <w:rPr>
                <w:rFonts w:cs="Calibri"/>
                <w:kern w:val="0"/>
                <w:sz w:val="20"/>
                <w:szCs w:val="20"/>
                <w:lang w:bidi="ar"/>
              </w:rPr>
              <w:t> </w:t>
            </w:r>
            <w:r>
              <w:rPr>
                <w:rFonts w:hint="eastAsia" w:cs="Calibri"/>
                <w:kern w:val="0"/>
                <w:sz w:val="20"/>
                <w:szCs w:val="20"/>
                <w:lang w:val="en-US" w:eastAsia="zh-CN" w:bidi="ar"/>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4932" w:type="dxa"/>
            <w:gridSpan w:val="3"/>
            <w:tcBorders>
              <w:top w:val="nil"/>
              <w:left w:val="single" w:color="auto" w:sz="8" w:space="0"/>
              <w:bottom w:val="single" w:color="auto" w:sz="8"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二、上年结转政府信息公开申请数量</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r>
              <w:rPr>
                <w:rFonts w:cs="Calibri"/>
                <w:kern w:val="0"/>
                <w:sz w:val="20"/>
                <w:szCs w:val="20"/>
                <w:lang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restart"/>
            <w:tcBorders>
              <w:top w:val="single" w:color="auto" w:sz="0" w:space="0"/>
              <w:left w:val="single" w:color="auto" w:sz="8" w:space="0"/>
              <w:bottom w:val="outset" w:color="auto" w:sz="6"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三、本年度办理结果</w:t>
            </w:r>
          </w:p>
        </w:tc>
        <w:tc>
          <w:tcPr>
            <w:tcW w:w="4178" w:type="dxa"/>
            <w:gridSpan w:val="2"/>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（一）予以公开</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2</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val="en-US"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rPr>
                <w:rFonts w:hint="eastAsia" w:eastAsiaTheme="minorEastAsia"/>
                <w:lang w:val="en-US" w:eastAsia="zh-CN"/>
              </w:rPr>
            </w:pPr>
            <w:r>
              <w:rPr>
                <w:rFonts w:cs="Calibri"/>
                <w:kern w:val="0"/>
                <w:sz w:val="20"/>
                <w:szCs w:val="20"/>
                <w:lang w:bidi="ar"/>
              </w:rPr>
              <w:t> </w:t>
            </w:r>
            <w:r>
              <w:rPr>
                <w:rFonts w:hint="eastAsia" w:cs="Calibri"/>
                <w:kern w:val="0"/>
                <w:sz w:val="20"/>
                <w:szCs w:val="20"/>
                <w:lang w:val="en-US" w:eastAsia="zh-CN" w:bidi="ar"/>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4178" w:type="dxa"/>
            <w:gridSpan w:val="2"/>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（二）部分公开</w:t>
            </w:r>
            <w:r>
              <w:rPr>
                <w:rFonts w:hint="eastAsia" w:ascii="楷体" w:hAnsi="楷体" w:eastAsia="楷体" w:cs="楷体"/>
                <w:kern w:val="0"/>
                <w:sz w:val="20"/>
                <w:szCs w:val="20"/>
                <w:lang w:bidi="ar"/>
              </w:rPr>
              <w:t>（区分处理的，只计这一情形，不计其他情形）</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rPr>
                <w:rFonts w:hint="eastAsia" w:eastAsiaTheme="minorEastAsia"/>
                <w:lang w:eastAsia="zh-CN"/>
              </w:rP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restart"/>
            <w:tcBorders>
              <w:top w:val="single" w:color="auto" w:sz="0" w:space="0"/>
              <w:left w:val="single" w:color="auto" w:sz="0" w:space="0"/>
              <w:bottom w:val="outset" w:color="auto" w:sz="6"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（三）不予公开</w:t>
            </w: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1.属于国家秘密</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rPr>
                <w:b/>
                <w:bCs/>
              </w:rP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2.其他法律行政法规禁止公开</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3.危及“三安全一稳定”</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4.保护第三方合法权益</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5.属于三类内部事务信息</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6.属于四类过程性信息</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7.属于行政执法案卷</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8.属于行政查询事项</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restart"/>
            <w:tcBorders>
              <w:top w:val="single" w:color="auto" w:sz="0" w:space="0"/>
              <w:left w:val="single" w:color="auto" w:sz="0" w:space="0"/>
              <w:bottom w:val="outset" w:color="auto" w:sz="6"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（四）无法提供</w:t>
            </w: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1.本机关不掌握相关政府信息</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2.没有现成信息需要另行制作</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3.补正后申请内容仍不明确</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restart"/>
            <w:tcBorders>
              <w:top w:val="single" w:color="auto" w:sz="0" w:space="0"/>
              <w:left w:val="single" w:color="auto" w:sz="0" w:space="0"/>
              <w:bottom w:val="outset" w:color="auto" w:sz="6"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（五）不予处理</w:t>
            </w:r>
          </w:p>
        </w:tc>
        <w:tc>
          <w:tcPr>
            <w:tcW w:w="3257"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1.信访举报投诉类申请</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2.重复申请</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3.要求提供公开出版物</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left"/>
            </w:pPr>
            <w:r>
              <w:rPr>
                <w:rFonts w:hint="eastAsia" w:ascii="宋体" w:hAnsi="宋体" w:cs="宋体"/>
                <w:kern w:val="0"/>
                <w:sz w:val="20"/>
                <w:szCs w:val="20"/>
                <w:lang w:bidi="ar"/>
              </w:rPr>
              <w:t>4.无正当理由大量反复申请</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trHeight w:val="779" w:hRule="atLeast"/>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single" w:color="auto" w:sz="0"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single" w:color="auto" w:sz="0" w:space="0"/>
              <w:left w:val="single" w:color="auto" w:sz="0" w:space="0"/>
              <w:bottom w:val="outset" w:color="auto" w:sz="6" w:space="0"/>
              <w:right w:val="single" w:color="auto" w:sz="8" w:space="0"/>
            </w:tcBorders>
            <w:shd w:val="clear" w:color="auto" w:fill="auto"/>
            <w:noWrap w:val="0"/>
            <w:vAlign w:val="center"/>
          </w:tcPr>
          <w:p>
            <w:pPr>
              <w:widowControl/>
              <w:spacing w:before="100" w:beforeAutospacing="1"/>
            </w:pPr>
            <w:r>
              <w:rPr>
                <w:rFonts w:hint="eastAsia" w:ascii="宋体" w:hAnsi="宋体" w:cs="宋体"/>
                <w:kern w:val="0"/>
                <w:sz w:val="20"/>
                <w:szCs w:val="20"/>
                <w:lang w:bidi="ar"/>
              </w:rPr>
              <w:t>5.要求行政机关确认或重新出具已获取信息</w:t>
            </w:r>
          </w:p>
        </w:tc>
        <w:tc>
          <w:tcPr>
            <w:tcW w:w="688" w:type="dxa"/>
            <w:tcBorders>
              <w:top w:val="single" w:color="auto" w:sz="0" w:space="0"/>
              <w:left w:val="single" w:color="auto" w:sz="0" w:space="0"/>
              <w:bottom w:val="outset" w:color="auto" w:sz="6"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0" w:space="0"/>
              <w:left w:val="single" w:color="auto" w:sz="0" w:space="0"/>
              <w:bottom w:val="outset" w:color="auto" w:sz="6"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0" w:space="0"/>
              <w:left w:val="single" w:color="auto" w:sz="0" w:space="0"/>
              <w:bottom w:val="outset" w:color="auto" w:sz="6"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0" w:space="0"/>
              <w:left w:val="single" w:color="auto" w:sz="0" w:space="0"/>
              <w:bottom w:val="outset" w:color="auto" w:sz="6"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0" w:space="0"/>
              <w:left w:val="single" w:color="auto" w:sz="0" w:space="0"/>
              <w:bottom w:val="outset" w:color="auto" w:sz="6"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0" w:space="0"/>
              <w:left w:val="single" w:color="auto" w:sz="0" w:space="0"/>
              <w:bottom w:val="outset" w:color="auto" w:sz="6"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c>
          <w:tcPr>
            <w:tcW w:w="688" w:type="dxa"/>
            <w:tcBorders>
              <w:top w:val="single" w:color="auto" w:sz="0" w:space="0"/>
              <w:left w:val="single" w:color="auto" w:sz="0" w:space="0"/>
              <w:bottom w:val="outset" w:color="auto" w:sz="6"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restart"/>
            <w:tcBorders>
              <w:top w:val="outset" w:color="auto" w:sz="6" w:space="0"/>
              <w:left w:val="single" w:color="auto" w:sz="0" w:space="0"/>
              <w:bottom w:val="outset" w:color="auto" w:sz="6"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（六）其他处理</w:t>
            </w:r>
          </w:p>
        </w:tc>
        <w:tc>
          <w:tcPr>
            <w:tcW w:w="3257"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pPr>
            <w:r>
              <w:rPr>
                <w:rFonts w:hint="eastAsia" w:ascii="宋体" w:hAnsi="宋体" w:cs="宋体"/>
                <w:kern w:val="0"/>
                <w:sz w:val="20"/>
                <w:szCs w:val="20"/>
                <w:lang w:bidi="ar"/>
              </w:rPr>
              <w:t>1.申请人无正当理由逾期不补正、行政机关不再处理其政府信息公开申请</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outset" w:color="auto" w:sz="6"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pPr>
            <w:r>
              <w:rPr>
                <w:rFonts w:hint="eastAsia" w:ascii="宋体" w:hAnsi="宋体" w:cs="宋体"/>
                <w:kern w:val="0"/>
                <w:sz w:val="20"/>
                <w:szCs w:val="20"/>
                <w:lang w:bidi="ar"/>
              </w:rPr>
              <w:t>2.申请人逾期未按收费通知要求缴纳费用、行政机关不再处理其政府信息公开申请</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921" w:type="dxa"/>
            <w:vMerge w:val="continue"/>
            <w:tcBorders>
              <w:top w:val="outset" w:color="auto" w:sz="6" w:space="0"/>
              <w:left w:val="single" w:color="auto" w:sz="0" w:space="0"/>
              <w:bottom w:val="outset" w:color="auto" w:sz="6" w:space="0"/>
              <w:right w:val="single" w:color="auto" w:sz="8" w:space="0"/>
            </w:tcBorders>
            <w:shd w:val="clear" w:color="auto" w:fill="auto"/>
            <w:noWrap w:val="0"/>
            <w:vAlign w:val="center"/>
          </w:tcPr>
          <w:p>
            <w:pPr>
              <w:rPr>
                <w:rFonts w:hint="eastAsia" w:ascii="宋体"/>
                <w:sz w:val="24"/>
              </w:rPr>
            </w:pPr>
          </w:p>
        </w:tc>
        <w:tc>
          <w:tcPr>
            <w:tcW w:w="3257"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3.其他</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pPr>
            <w:r>
              <w:rPr>
                <w:rFonts w:hint="eastAsia" w:cs="Calibri"/>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754" w:type="dxa"/>
            <w:vMerge w:val="continue"/>
            <w:tcBorders>
              <w:top w:val="single" w:color="auto" w:sz="0" w:space="0"/>
              <w:left w:val="single" w:color="auto" w:sz="8" w:space="0"/>
              <w:bottom w:val="outset" w:color="auto" w:sz="6" w:space="0"/>
              <w:right w:val="single" w:color="auto" w:sz="8" w:space="0"/>
            </w:tcBorders>
            <w:shd w:val="clear" w:color="auto" w:fill="auto"/>
            <w:noWrap w:val="0"/>
            <w:vAlign w:val="center"/>
          </w:tcPr>
          <w:p>
            <w:pPr>
              <w:rPr>
                <w:rFonts w:hint="eastAsia" w:ascii="宋体"/>
                <w:sz w:val="24"/>
              </w:rPr>
            </w:pPr>
          </w:p>
        </w:tc>
        <w:tc>
          <w:tcPr>
            <w:tcW w:w="4178" w:type="dxa"/>
            <w:gridSpan w:val="2"/>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（七）总计</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rPr>
                <w:rFonts w:hint="eastAsia" w:eastAsiaTheme="minorEastAsia"/>
                <w:lang w:val="en-US" w:eastAsia="zh-CN"/>
              </w:rPr>
            </w:pPr>
            <w:r>
              <w:rPr>
                <w:rFonts w:hint="eastAsia"/>
                <w:lang w:val="en-US" w:eastAsia="zh-CN"/>
              </w:rPr>
              <w:t>2</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widowControl/>
              <w:spacing w:before="100" w:beforeAutospacing="1"/>
              <w:jc w:val="center"/>
              <w:rPr>
                <w:rFonts w:hint="eastAsia" w:eastAsiaTheme="minorEastAsia"/>
                <w:lang w:val="en-US" w:eastAsia="zh-CN"/>
              </w:rPr>
            </w:pPr>
            <w:r>
              <w:rPr>
                <w:rFonts w:hint="eastAsia" w:cs="Calibri"/>
                <w:kern w:val="0"/>
                <w:sz w:val="20"/>
                <w:szCs w:val="20"/>
                <w:lang w:val="en-US" w:eastAsia="zh-CN" w:bidi="ar"/>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57" w:type="dxa"/>
            <w:bottom w:w="0" w:type="dxa"/>
            <w:right w:w="57" w:type="dxa"/>
          </w:tblCellMar>
        </w:tblPrEx>
        <w:trPr>
          <w:jc w:val="center"/>
        </w:trPr>
        <w:tc>
          <w:tcPr>
            <w:tcW w:w="4932" w:type="dxa"/>
            <w:gridSpan w:val="3"/>
            <w:tcBorders>
              <w:top w:val="nil"/>
              <w:left w:val="single" w:color="auto" w:sz="8" w:space="0"/>
              <w:bottom w:val="single" w:color="auto" w:sz="8" w:space="0"/>
              <w:right w:val="single" w:color="auto" w:sz="8" w:space="0"/>
            </w:tcBorders>
            <w:shd w:val="clear" w:color="auto" w:fill="auto"/>
            <w:noWrap w:val="0"/>
            <w:vAlign w:val="center"/>
          </w:tcPr>
          <w:p>
            <w:pPr>
              <w:widowControl/>
              <w:spacing w:before="100" w:beforeAutospacing="1"/>
              <w:jc w:val="left"/>
            </w:pPr>
            <w:r>
              <w:rPr>
                <w:rFonts w:hint="eastAsia" w:ascii="宋体" w:hAnsi="宋体" w:cs="宋体"/>
                <w:kern w:val="0"/>
                <w:sz w:val="20"/>
                <w:szCs w:val="20"/>
                <w:lang w:bidi="ar"/>
              </w:rPr>
              <w:t>四、结转下年度继续办理</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center"/>
          </w:tcPr>
          <w:p>
            <w:pPr>
              <w:widowControl/>
              <w:spacing w:before="100" w:beforeAutospacing="1"/>
              <w:jc w:val="center"/>
            </w:pPr>
            <w:r>
              <w:rPr>
                <w:rFonts w:hint="eastAsia" w:cs="Calibri"/>
                <w:kern w:val="0"/>
                <w:sz w:val="20"/>
                <w:szCs w:val="20"/>
                <w:lang w:val="en-US" w:eastAsia="zh-CN" w:bidi="ar"/>
              </w:rPr>
              <w:t>0</w:t>
            </w:r>
          </w:p>
        </w:tc>
        <w:tc>
          <w:tcPr>
            <w:tcW w:w="688" w:type="dxa"/>
            <w:tcBorders>
              <w:top w:val="nil"/>
              <w:left w:val="nil"/>
              <w:bottom w:val="single" w:color="auto" w:sz="8" w:space="0"/>
              <w:right w:val="single" w:color="auto" w:sz="8" w:space="0"/>
            </w:tcBorders>
            <w:shd w:val="clear" w:color="auto" w:fill="auto"/>
            <w:noWrap w:val="0"/>
            <w:vAlign w:val="top"/>
          </w:tcPr>
          <w:p>
            <w:pPr>
              <w:rPr>
                <w:rFonts w:hint="default" w:ascii="宋体" w:eastAsiaTheme="minorEastAsia"/>
                <w:sz w:val="24"/>
                <w:lang w:val="en-US" w:eastAsia="zh-CN"/>
              </w:rPr>
            </w:pPr>
            <w:r>
              <w:rPr>
                <w:rFonts w:hint="eastAsia" w:ascii="宋体"/>
                <w:sz w:val="24"/>
                <w:lang w:val="en-US" w:eastAsia="zh-CN"/>
              </w:rPr>
              <w:t xml:space="preserve">  </w:t>
            </w:r>
            <w:r>
              <w:rPr>
                <w:rFonts w:hint="eastAsia" w:cs="Calibri"/>
                <w:kern w:val="0"/>
                <w:sz w:val="20"/>
                <w:szCs w:val="20"/>
                <w:lang w:val="en-US" w:eastAsia="zh-CN" w:bidi="ar"/>
              </w:rPr>
              <w:t>0</w:t>
            </w:r>
          </w:p>
        </w:tc>
      </w:tr>
    </w:tbl>
    <w:p>
      <w:pPr>
        <w:widowControl/>
        <w:jc w:val="center"/>
      </w:pPr>
    </w:p>
    <w:p>
      <w:pPr>
        <w:pStyle w:val="6"/>
        <w:widowControl/>
        <w:spacing w:before="0" w:beforeAutospacing="0" w:after="0" w:afterAutospacing="0"/>
        <w:ind w:firstLine="420"/>
        <w:jc w:val="both"/>
        <w:rPr>
          <w:rFonts w:hint="eastAsia" w:ascii="CESI黑体-GB2312" w:hAnsi="CESI黑体-GB2312" w:eastAsia="CESI黑体-GB2312" w:cs="CESI黑体-GB2312"/>
          <w:b w:val="0"/>
          <w:bCs w:val="0"/>
          <w:sz w:val="32"/>
          <w:szCs w:val="32"/>
        </w:rPr>
      </w:pPr>
      <w:r>
        <w:rPr>
          <w:rFonts w:hint="eastAsia" w:ascii="CESI黑体-GB2312" w:hAnsi="CESI黑体-GB2312" w:eastAsia="CESI黑体-GB2312" w:cs="CESI黑体-GB2312"/>
          <w:b w:val="0"/>
          <w:bCs w:val="0"/>
          <w:sz w:val="32"/>
          <w:szCs w:val="32"/>
        </w:rPr>
        <w:t>四、政府信息公开行政复议、行政诉讼情况</w:t>
      </w:r>
    </w:p>
    <w:p>
      <w:pPr>
        <w:widowControl/>
        <w:jc w:val="center"/>
      </w:pPr>
    </w:p>
    <w:tbl>
      <w:tblPr>
        <w:tblStyle w:val="7"/>
        <w:tblW w:w="9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650"/>
        <w:gridCol w:w="650"/>
        <w:gridCol w:w="650"/>
        <w:gridCol w:w="650"/>
        <w:gridCol w:w="649"/>
        <w:gridCol w:w="649"/>
        <w:gridCol w:w="650"/>
        <w:gridCol w:w="650"/>
        <w:gridCol w:w="650"/>
        <w:gridCol w:w="650"/>
        <w:gridCol w:w="650"/>
        <w:gridCol w:w="650"/>
        <w:gridCol w:w="650"/>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行政复议</w:t>
            </w:r>
          </w:p>
        </w:tc>
        <w:tc>
          <w:tcPr>
            <w:tcW w:w="6428" w:type="dxa"/>
            <w:gridSpan w:val="10"/>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结果维持</w:t>
            </w:r>
          </w:p>
        </w:tc>
        <w:tc>
          <w:tcPr>
            <w:tcW w:w="642" w:type="dxa"/>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结果</w:t>
            </w:r>
            <w:r>
              <w:rPr>
                <w:rFonts w:hint="eastAsia" w:ascii="宋体" w:hAnsi="宋体" w:cs="宋体"/>
                <w:kern w:val="0"/>
                <w:sz w:val="20"/>
                <w:szCs w:val="20"/>
                <w:lang w:bidi="ar"/>
              </w:rPr>
              <w:br w:type="textWrapping"/>
            </w:r>
            <w:r>
              <w:rPr>
                <w:rFonts w:hint="eastAsia" w:ascii="宋体" w:hAnsi="宋体" w:cs="宋体"/>
                <w:kern w:val="0"/>
                <w:sz w:val="20"/>
                <w:szCs w:val="20"/>
                <w:lang w:bidi="ar"/>
              </w:rPr>
              <w:t>纠正</w:t>
            </w:r>
          </w:p>
        </w:tc>
        <w:tc>
          <w:tcPr>
            <w:tcW w:w="642"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其他</w:t>
            </w:r>
            <w:r>
              <w:rPr>
                <w:rFonts w:hint="eastAsia" w:ascii="宋体" w:hAnsi="宋体" w:cs="宋体"/>
                <w:kern w:val="0"/>
                <w:sz w:val="20"/>
                <w:szCs w:val="20"/>
                <w:lang w:bidi="ar"/>
              </w:rPr>
              <w:br w:type="textWrapping"/>
            </w:r>
            <w:r>
              <w:rPr>
                <w:rFonts w:hint="eastAsia" w:ascii="宋体" w:hAnsi="宋体" w:cs="宋体"/>
                <w:kern w:val="0"/>
                <w:sz w:val="20"/>
                <w:szCs w:val="20"/>
                <w:lang w:bidi="ar"/>
              </w:rPr>
              <w:t>结果</w:t>
            </w:r>
          </w:p>
        </w:tc>
        <w:tc>
          <w:tcPr>
            <w:tcW w:w="642"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尚未</w:t>
            </w:r>
            <w:r>
              <w:rPr>
                <w:rFonts w:hint="eastAsia" w:ascii="宋体" w:hAnsi="宋体" w:cs="宋体"/>
                <w:kern w:val="0"/>
                <w:sz w:val="20"/>
                <w:szCs w:val="20"/>
                <w:lang w:bidi="ar"/>
              </w:rPr>
              <w:br w:type="textWrapping"/>
            </w:r>
            <w:r>
              <w:rPr>
                <w:rFonts w:hint="eastAsia" w:ascii="宋体" w:hAnsi="宋体" w:cs="宋体"/>
                <w:kern w:val="0"/>
                <w:sz w:val="20"/>
                <w:szCs w:val="20"/>
                <w:lang w:bidi="ar"/>
              </w:rPr>
              <w:t>审结</w:t>
            </w:r>
          </w:p>
        </w:tc>
        <w:tc>
          <w:tcPr>
            <w:tcW w:w="642"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总计</w:t>
            </w:r>
          </w:p>
        </w:tc>
        <w:tc>
          <w:tcPr>
            <w:tcW w:w="3213"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未经复议直接起诉</w:t>
            </w:r>
          </w:p>
        </w:tc>
        <w:tc>
          <w:tcPr>
            <w:tcW w:w="3215"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tcBorders>
              <w:top w:val="nil"/>
              <w:left w:val="single" w:color="auto" w:sz="4" w:space="0"/>
              <w:bottom w:val="single" w:color="auto" w:sz="4" w:space="0"/>
              <w:right w:val="single" w:color="auto" w:sz="4" w:space="0"/>
            </w:tcBorders>
            <w:shd w:val="clear" w:color="auto" w:fill="auto"/>
            <w:noWrap w:val="0"/>
            <w:vAlign w:val="center"/>
          </w:tcPr>
          <w:p>
            <w:pPr>
              <w:rPr>
                <w:rFonts w:hint="eastAsia" w:ascii="宋体"/>
                <w:sz w:val="24"/>
              </w:rPr>
            </w:pPr>
          </w:p>
        </w:tc>
        <w:tc>
          <w:tcPr>
            <w:tcW w:w="642" w:type="dxa"/>
            <w:vMerge w:val="continue"/>
            <w:tcBorders>
              <w:top w:val="nil"/>
              <w:left w:val="single" w:color="auto" w:sz="4" w:space="0"/>
              <w:bottom w:val="single" w:color="auto" w:sz="4" w:space="0"/>
              <w:right w:val="single" w:color="auto" w:sz="4" w:space="0"/>
            </w:tcBorders>
            <w:shd w:val="clear" w:color="auto" w:fill="auto"/>
            <w:noWrap w:val="0"/>
            <w:vAlign w:val="center"/>
          </w:tcPr>
          <w:p>
            <w:pPr>
              <w:rPr>
                <w:rFonts w:hint="eastAsia" w:ascii="宋体"/>
                <w:sz w:val="24"/>
              </w:rPr>
            </w:pPr>
          </w:p>
        </w:tc>
        <w:tc>
          <w:tcPr>
            <w:tcW w:w="642"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ascii="宋体"/>
                <w:sz w:val="24"/>
              </w:rPr>
            </w:pPr>
          </w:p>
        </w:tc>
        <w:tc>
          <w:tcPr>
            <w:tcW w:w="642"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ascii="宋体"/>
                <w:sz w:val="24"/>
              </w:rPr>
            </w:pPr>
          </w:p>
        </w:tc>
        <w:tc>
          <w:tcPr>
            <w:tcW w:w="642"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ascii="宋体"/>
                <w:sz w:val="24"/>
              </w:rPr>
            </w:pP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结果</w:t>
            </w:r>
            <w:r>
              <w:rPr>
                <w:rFonts w:hint="eastAsia" w:ascii="宋体" w:hAnsi="宋体" w:cs="宋体"/>
                <w:kern w:val="0"/>
                <w:sz w:val="20"/>
                <w:szCs w:val="20"/>
                <w:lang w:bidi="ar"/>
              </w:rPr>
              <w:br w:type="textWrapping"/>
            </w:r>
            <w:r>
              <w:rPr>
                <w:rFonts w:hint="eastAsia" w:ascii="宋体" w:hAnsi="宋体" w:cs="宋体"/>
                <w:kern w:val="0"/>
                <w:sz w:val="20"/>
                <w:szCs w:val="20"/>
                <w:lang w:bidi="ar"/>
              </w:rPr>
              <w:t>维持</w:t>
            </w: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结果</w:t>
            </w:r>
            <w:r>
              <w:rPr>
                <w:rFonts w:hint="eastAsia" w:ascii="宋体" w:hAnsi="宋体" w:cs="宋体"/>
                <w:kern w:val="0"/>
                <w:sz w:val="20"/>
                <w:szCs w:val="20"/>
                <w:lang w:bidi="ar"/>
              </w:rPr>
              <w:br w:type="textWrapping"/>
            </w:r>
            <w:r>
              <w:rPr>
                <w:rFonts w:hint="eastAsia" w:ascii="宋体" w:hAnsi="宋体" w:cs="宋体"/>
                <w:kern w:val="0"/>
                <w:sz w:val="20"/>
                <w:szCs w:val="20"/>
                <w:lang w:bidi="ar"/>
              </w:rPr>
              <w:t>纠正</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其他</w:t>
            </w:r>
            <w:r>
              <w:rPr>
                <w:rFonts w:hint="eastAsia" w:ascii="宋体" w:hAnsi="宋体" w:cs="宋体"/>
                <w:kern w:val="0"/>
                <w:sz w:val="20"/>
                <w:szCs w:val="20"/>
                <w:lang w:bidi="ar"/>
              </w:rPr>
              <w:br w:type="textWrapping"/>
            </w:r>
            <w:r>
              <w:rPr>
                <w:rFonts w:hint="eastAsia" w:ascii="宋体" w:hAnsi="宋体" w:cs="宋体"/>
                <w:kern w:val="0"/>
                <w:sz w:val="20"/>
                <w:szCs w:val="20"/>
                <w:lang w:bidi="ar"/>
              </w:rPr>
              <w:t>结果</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尚未</w:t>
            </w:r>
            <w:r>
              <w:rPr>
                <w:rFonts w:hint="eastAsia" w:ascii="宋体" w:hAnsi="宋体" w:cs="宋体"/>
                <w:kern w:val="0"/>
                <w:sz w:val="20"/>
                <w:szCs w:val="20"/>
                <w:lang w:bidi="ar"/>
              </w:rPr>
              <w:br w:type="textWrapping"/>
            </w:r>
            <w:r>
              <w:rPr>
                <w:rFonts w:hint="eastAsia" w:ascii="宋体" w:hAnsi="宋体" w:cs="宋体"/>
                <w:kern w:val="0"/>
                <w:sz w:val="20"/>
                <w:szCs w:val="20"/>
                <w:lang w:bidi="ar"/>
              </w:rPr>
              <w:t>审结</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color w:val="000000"/>
                <w:kern w:val="0"/>
                <w:sz w:val="20"/>
                <w:szCs w:val="20"/>
                <w:lang w:bidi="ar"/>
              </w:rPr>
              <w:t>总计</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结果</w:t>
            </w:r>
            <w:r>
              <w:rPr>
                <w:rFonts w:hint="eastAsia" w:ascii="宋体" w:hAnsi="宋体" w:cs="宋体"/>
                <w:kern w:val="0"/>
                <w:sz w:val="20"/>
                <w:szCs w:val="20"/>
                <w:lang w:bidi="ar"/>
              </w:rPr>
              <w:br w:type="textWrapping"/>
            </w:r>
            <w:r>
              <w:rPr>
                <w:rFonts w:hint="eastAsia" w:ascii="宋体" w:hAnsi="宋体" w:cs="宋体"/>
                <w:kern w:val="0"/>
                <w:sz w:val="20"/>
                <w:szCs w:val="20"/>
                <w:lang w:bidi="ar"/>
              </w:rPr>
              <w:t>维持</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结果</w:t>
            </w:r>
            <w:r>
              <w:rPr>
                <w:rFonts w:hint="eastAsia" w:ascii="宋体" w:hAnsi="宋体" w:cs="宋体"/>
                <w:kern w:val="0"/>
                <w:sz w:val="20"/>
                <w:szCs w:val="20"/>
                <w:lang w:bidi="ar"/>
              </w:rPr>
              <w:br w:type="textWrapping"/>
            </w:r>
            <w:r>
              <w:rPr>
                <w:rFonts w:hint="eastAsia" w:ascii="宋体" w:hAnsi="宋体" w:cs="宋体"/>
                <w:kern w:val="0"/>
                <w:sz w:val="20"/>
                <w:szCs w:val="20"/>
                <w:lang w:bidi="ar"/>
              </w:rPr>
              <w:t>纠正</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color w:val="000000"/>
                <w:kern w:val="0"/>
                <w:sz w:val="20"/>
                <w:szCs w:val="20"/>
                <w:lang w:bidi="ar"/>
              </w:rPr>
              <w:t>其他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结果</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kern w:val="0"/>
                <w:sz w:val="20"/>
                <w:szCs w:val="20"/>
                <w:lang w:bidi="ar"/>
              </w:rPr>
              <w:t>尚未</w:t>
            </w:r>
            <w:r>
              <w:rPr>
                <w:rFonts w:hint="eastAsia" w:ascii="宋体" w:hAnsi="宋体" w:cs="宋体"/>
                <w:kern w:val="0"/>
                <w:sz w:val="20"/>
                <w:szCs w:val="20"/>
                <w:lang w:bidi="ar"/>
              </w:rPr>
              <w:br w:type="textWrapping"/>
            </w:r>
            <w:r>
              <w:rPr>
                <w:rFonts w:hint="eastAsia" w:ascii="宋体" w:hAnsi="宋体" w:cs="宋体"/>
                <w:kern w:val="0"/>
                <w:sz w:val="20"/>
                <w:szCs w:val="20"/>
                <w:lang w:bidi="ar"/>
              </w:rPr>
              <w:t>审结</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宋体" w:hAnsi="宋体" w:cs="宋体"/>
                <w:color w:val="000000"/>
                <w:kern w:val="0"/>
                <w:sz w:val="20"/>
                <w:szCs w:val="20"/>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黑体" w:hAnsi="宋体" w:eastAsia="黑体" w:cs="黑体"/>
                <w:sz w:val="20"/>
                <w:szCs w:val="20"/>
                <w:lang w:val="en-US" w:eastAsia="zh-CN" w:bidi="ar"/>
              </w:rPr>
              <w:t>0</w:t>
            </w:r>
            <w:r>
              <w:rPr>
                <w:rFonts w:ascii="黑体" w:hAnsi="宋体" w:eastAsia="黑体" w:cs="黑体"/>
                <w:sz w:val="20"/>
                <w:szCs w:val="20"/>
                <w:lang w:bidi="ar"/>
              </w:rPr>
              <w:t> </w:t>
            </w: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rPr>
                <w:rFonts w:hint="eastAsia" w:eastAsia="黑体"/>
                <w:lang w:val="en-US" w:eastAsia="zh-CN"/>
              </w:rPr>
            </w:pPr>
            <w:r>
              <w:rPr>
                <w:rFonts w:hint="eastAsia" w:ascii="黑体" w:hAnsi="宋体" w:eastAsia="黑体" w:cs="黑体"/>
                <w:sz w:val="20"/>
                <w:szCs w:val="20"/>
                <w:lang w:bidi="ar"/>
              </w:rPr>
              <w:t> </w:t>
            </w:r>
            <w:r>
              <w:rPr>
                <w:rFonts w:hint="eastAsia" w:ascii="黑体" w:hAnsi="宋体" w:eastAsia="黑体" w:cs="黑体"/>
                <w:sz w:val="20"/>
                <w:szCs w:val="20"/>
                <w:lang w:val="en-US" w:eastAsia="zh-CN" w:bidi="ar"/>
              </w:rPr>
              <w:t>0</w:t>
            </w: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黑体" w:hAnsi="宋体" w:eastAsia="黑体" w:cs="黑体"/>
                <w:sz w:val="20"/>
                <w:szCs w:val="20"/>
                <w:lang w:val="en-US" w:eastAsia="zh-CN" w:bidi="ar"/>
              </w:rPr>
              <w:t>0</w:t>
            </w:r>
            <w:r>
              <w:rPr>
                <w:rFonts w:hint="eastAsia" w:ascii="黑体" w:hAnsi="宋体" w:eastAsia="黑体" w:cs="黑体"/>
                <w:sz w:val="20"/>
                <w:szCs w:val="20"/>
                <w:lang w:bidi="ar"/>
              </w:rPr>
              <w:t> </w:t>
            </w: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黑体" w:hAnsi="宋体" w:eastAsia="黑体" w:cs="黑体"/>
                <w:sz w:val="20"/>
                <w:szCs w:val="20"/>
                <w:lang w:val="en-US" w:eastAsia="zh-CN" w:bidi="ar"/>
              </w:rPr>
              <w:t>0</w:t>
            </w:r>
            <w:r>
              <w:rPr>
                <w:rFonts w:hint="eastAsia" w:ascii="黑体" w:hAnsi="宋体" w:eastAsia="黑体" w:cs="黑体"/>
                <w:sz w:val="20"/>
                <w:szCs w:val="20"/>
                <w:lang w:bidi="ar"/>
              </w:rPr>
              <w:t> </w:t>
            </w: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黑体" w:hAnsi="宋体" w:eastAsia="黑体" w:cs="黑体"/>
                <w:sz w:val="20"/>
                <w:szCs w:val="20"/>
                <w:lang w:val="en-US" w:eastAsia="zh-CN" w:bidi="ar"/>
              </w:rPr>
              <w:t>0</w:t>
            </w:r>
            <w:r>
              <w:rPr>
                <w:rFonts w:hint="eastAsia" w:ascii="黑体" w:hAnsi="宋体" w:eastAsia="黑体" w:cs="黑体"/>
                <w:sz w:val="20"/>
                <w:szCs w:val="20"/>
                <w:lang w:bidi="ar"/>
              </w:rPr>
              <w:t> </w:t>
            </w: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rPr>
                <w:rFonts w:hint="eastAsia" w:eastAsia="黑体"/>
                <w:lang w:val="en-US" w:eastAsia="zh-CN"/>
              </w:rPr>
            </w:pPr>
            <w:r>
              <w:rPr>
                <w:rFonts w:hint="eastAsia" w:ascii="黑体" w:hAnsi="宋体" w:eastAsia="黑体" w:cs="黑体"/>
                <w:sz w:val="20"/>
                <w:szCs w:val="20"/>
                <w:lang w:bidi="ar"/>
              </w:rPr>
              <w:t> </w:t>
            </w:r>
            <w:r>
              <w:rPr>
                <w:rFonts w:hint="eastAsia" w:ascii="黑体" w:hAnsi="宋体" w:eastAsia="黑体" w:cs="黑体"/>
                <w:sz w:val="20"/>
                <w:szCs w:val="20"/>
                <w:lang w:val="en-US" w:eastAsia="zh-CN" w:bidi="ar"/>
              </w:rPr>
              <w:t>0</w:t>
            </w:r>
          </w:p>
        </w:tc>
        <w:tc>
          <w:tcPr>
            <w:tcW w:w="6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rPr>
                <w:rFonts w:hint="eastAsia" w:eastAsia="黑体"/>
                <w:lang w:val="en-US" w:eastAsia="zh-CN"/>
              </w:rPr>
            </w:pPr>
            <w:r>
              <w:rPr>
                <w:rFonts w:hint="eastAsia" w:ascii="黑体" w:hAnsi="宋体" w:eastAsia="黑体" w:cs="黑体"/>
                <w:sz w:val="20"/>
                <w:szCs w:val="20"/>
                <w:lang w:bidi="ar"/>
              </w:rPr>
              <w:t> </w:t>
            </w:r>
            <w:r>
              <w:rPr>
                <w:rFonts w:hint="eastAsia" w:ascii="黑体" w:hAnsi="宋体" w:eastAsia="黑体" w:cs="黑体"/>
                <w:sz w:val="20"/>
                <w:szCs w:val="20"/>
                <w:lang w:val="en-US" w:eastAsia="zh-CN" w:bidi="ar"/>
              </w:rPr>
              <w:t>0</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黑体" w:hAnsi="宋体" w:eastAsia="黑体" w:cs="黑体"/>
                <w:sz w:val="20"/>
                <w:szCs w:val="20"/>
                <w:lang w:val="en-US" w:eastAsia="zh-CN" w:bidi="ar"/>
              </w:rPr>
              <w:t>0</w:t>
            </w:r>
            <w:r>
              <w:rPr>
                <w:rFonts w:hint="eastAsia" w:ascii="黑体" w:hAnsi="宋体" w:eastAsia="黑体" w:cs="黑体"/>
                <w:sz w:val="20"/>
                <w:szCs w:val="20"/>
                <w:lang w:bidi="ar"/>
              </w:rPr>
              <w:t> </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rPr>
                <w:rFonts w:hint="eastAsia" w:eastAsia="黑体"/>
                <w:lang w:val="en-US" w:eastAsia="zh-CN"/>
              </w:rPr>
            </w:pPr>
            <w:r>
              <w:rPr>
                <w:rFonts w:hint="eastAsia" w:ascii="黑体" w:hAnsi="宋体" w:eastAsia="黑体" w:cs="黑体"/>
                <w:sz w:val="20"/>
                <w:szCs w:val="20"/>
                <w:lang w:bidi="ar"/>
              </w:rPr>
              <w:t> </w:t>
            </w:r>
            <w:r>
              <w:rPr>
                <w:rFonts w:hint="eastAsia" w:ascii="黑体" w:hAnsi="宋体" w:eastAsia="黑体" w:cs="黑体"/>
                <w:sz w:val="20"/>
                <w:szCs w:val="20"/>
                <w:lang w:val="en-US" w:eastAsia="zh-CN" w:bidi="ar"/>
              </w:rPr>
              <w:t>0</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rPr>
                <w:rFonts w:hint="eastAsia" w:eastAsia="黑体"/>
                <w:lang w:val="en-US" w:eastAsia="zh-CN"/>
              </w:rPr>
            </w:pPr>
            <w:r>
              <w:rPr>
                <w:rFonts w:hint="eastAsia" w:ascii="黑体" w:hAnsi="宋体" w:eastAsia="黑体" w:cs="黑体"/>
                <w:sz w:val="20"/>
                <w:szCs w:val="20"/>
                <w:lang w:bidi="ar"/>
              </w:rPr>
              <w:t> </w:t>
            </w:r>
            <w:r>
              <w:rPr>
                <w:rFonts w:hint="eastAsia" w:ascii="黑体" w:hAnsi="宋体" w:eastAsia="黑体" w:cs="黑体"/>
                <w:sz w:val="20"/>
                <w:szCs w:val="20"/>
                <w:lang w:val="en-US" w:eastAsia="zh-CN" w:bidi="ar"/>
              </w:rPr>
              <w:t>0</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pPr>
            <w:r>
              <w:rPr>
                <w:rFonts w:hint="eastAsia" w:ascii="黑体" w:hAnsi="宋体" w:eastAsia="黑体" w:cs="黑体"/>
                <w:sz w:val="20"/>
                <w:szCs w:val="20"/>
                <w:lang w:val="en-US" w:eastAsia="zh-CN" w:bidi="ar"/>
              </w:rPr>
              <w:t>0</w:t>
            </w:r>
            <w:r>
              <w:rPr>
                <w:rFonts w:hint="eastAsia" w:ascii="黑体" w:hAnsi="宋体" w:eastAsia="黑体" w:cs="黑体"/>
                <w:sz w:val="20"/>
                <w:szCs w:val="20"/>
                <w:lang w:bidi="ar"/>
              </w:rPr>
              <w:t> </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rPr>
                <w:rFonts w:hint="eastAsia" w:eastAsia="黑体"/>
                <w:lang w:val="en-US" w:eastAsia="zh-CN"/>
              </w:rPr>
            </w:pPr>
            <w:r>
              <w:rPr>
                <w:rFonts w:hint="eastAsia" w:ascii="黑体" w:hAnsi="宋体" w:eastAsia="黑体" w:cs="黑体"/>
                <w:sz w:val="20"/>
                <w:szCs w:val="20"/>
                <w:lang w:bidi="ar"/>
              </w:rPr>
              <w:t> </w:t>
            </w:r>
            <w:r>
              <w:rPr>
                <w:rFonts w:hint="eastAsia" w:ascii="黑体" w:hAnsi="宋体" w:eastAsia="黑体" w:cs="黑体"/>
                <w:sz w:val="20"/>
                <w:szCs w:val="20"/>
                <w:lang w:val="en-US" w:eastAsia="zh-CN" w:bidi="ar"/>
              </w:rPr>
              <w:t>0</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rPr>
                <w:rFonts w:hint="eastAsia" w:eastAsia="黑体"/>
                <w:lang w:val="en-US" w:eastAsia="zh-CN"/>
              </w:rPr>
            </w:pPr>
            <w:r>
              <w:rPr>
                <w:rFonts w:hint="eastAsia" w:ascii="黑体" w:hAnsi="宋体" w:eastAsia="黑体" w:cs="黑体"/>
                <w:sz w:val="20"/>
                <w:szCs w:val="20"/>
                <w:lang w:bidi="ar"/>
              </w:rPr>
              <w:t> </w:t>
            </w:r>
            <w:r>
              <w:rPr>
                <w:rFonts w:hint="eastAsia" w:ascii="黑体" w:hAnsi="宋体" w:eastAsia="黑体" w:cs="黑体"/>
                <w:sz w:val="20"/>
                <w:szCs w:val="20"/>
                <w:lang w:val="en-US" w:eastAsia="zh-CN" w:bidi="ar"/>
              </w:rPr>
              <w:t>0</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before="100" w:beforeAutospacing="1"/>
              <w:jc w:val="center"/>
              <w:rPr>
                <w:rFonts w:hint="eastAsia" w:eastAsia="黑体"/>
                <w:lang w:val="en-US" w:eastAsia="zh-CN"/>
              </w:rPr>
            </w:pPr>
            <w:r>
              <w:rPr>
                <w:rFonts w:hint="eastAsia" w:ascii="黑体" w:hAnsi="宋体" w:eastAsia="黑体" w:cs="黑体"/>
                <w:sz w:val="20"/>
                <w:szCs w:val="20"/>
                <w:lang w:bidi="ar"/>
              </w:rPr>
              <w:t> </w:t>
            </w:r>
            <w:r>
              <w:rPr>
                <w:rFonts w:hint="eastAsia" w:ascii="黑体" w:hAnsi="宋体" w:eastAsia="黑体" w:cs="黑体"/>
                <w:sz w:val="20"/>
                <w:szCs w:val="20"/>
                <w:lang w:val="en-US" w:eastAsia="zh-CN" w:bidi="ar"/>
              </w:rPr>
              <w:t>0</w:t>
            </w:r>
          </w:p>
        </w:tc>
        <w:tc>
          <w:tcPr>
            <w:tcW w:w="6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ascii="宋体" w:eastAsiaTheme="minorEastAsia"/>
                <w:sz w:val="24"/>
                <w:lang w:val="en-US" w:eastAsia="zh-CN"/>
              </w:rPr>
            </w:pPr>
            <w:r>
              <w:rPr>
                <w:rFonts w:hint="eastAsia" w:ascii="宋体"/>
                <w:sz w:val="24"/>
                <w:lang w:val="en-US" w:eastAsia="zh-CN"/>
              </w:rPr>
              <w:t>0</w:t>
            </w:r>
          </w:p>
        </w:tc>
      </w:tr>
    </w:tbl>
    <w:p>
      <w:pPr>
        <w:widowControl/>
        <w:jc w:val="left"/>
      </w:pPr>
    </w:p>
    <w:p>
      <w:pPr>
        <w:pStyle w:val="6"/>
        <w:widowControl/>
        <w:spacing w:before="0" w:beforeAutospacing="0" w:after="0" w:afterAutospacing="0"/>
        <w:ind w:firstLine="420"/>
        <w:jc w:val="both"/>
        <w:rPr>
          <w:rFonts w:hint="eastAsia" w:ascii="CESI黑体-GB2312" w:hAnsi="CESI黑体-GB2312" w:eastAsia="CESI黑体-GB2312" w:cs="CESI黑体-GB2312"/>
          <w:b w:val="0"/>
          <w:bCs w:val="0"/>
          <w:sz w:val="32"/>
          <w:szCs w:val="32"/>
        </w:rPr>
      </w:pPr>
      <w:r>
        <w:rPr>
          <w:rFonts w:hint="eastAsia" w:ascii="CESI黑体-GB2312" w:hAnsi="CESI黑体-GB2312" w:eastAsia="CESI黑体-GB2312" w:cs="CESI黑体-GB2312"/>
          <w:b w:val="0"/>
          <w:bCs w:val="0"/>
          <w:sz w:val="32"/>
          <w:szCs w:val="32"/>
        </w:rPr>
        <w:t>五、存在的主要问题及改进情况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cs="宋体"/>
          <w:b/>
          <w:bCs/>
        </w:rPr>
      </w:pPr>
      <w:r>
        <w:rPr>
          <w:rFonts w:hint="eastAsia" w:ascii="仿宋_GB2312" w:hAnsi="仿宋_GB2312" w:eastAsia="仿宋_GB2312" w:cs="仿宋_GB2312"/>
          <w:sz w:val="32"/>
          <w:szCs w:val="32"/>
          <w:lang w:eastAsia="zh-CN"/>
        </w:rPr>
        <w:t>总体来看，我局政务公开工作取得了一定成效，但是</w:t>
      </w:r>
      <w:r>
        <w:rPr>
          <w:rFonts w:hint="eastAsia" w:ascii="仿宋_GB2312" w:hAnsi="仿宋_GB2312" w:eastAsia="仿宋_GB2312" w:cs="仿宋_GB2312"/>
          <w:sz w:val="32"/>
          <w:szCs w:val="32"/>
        </w:rPr>
        <w:t>距离上级要求和群众期盼</w:t>
      </w:r>
      <w:r>
        <w:rPr>
          <w:rFonts w:hint="eastAsia" w:ascii="仿宋_GB2312" w:hAnsi="仿宋_GB2312" w:eastAsia="仿宋_GB2312" w:cs="仿宋_GB2312"/>
          <w:sz w:val="32"/>
          <w:szCs w:val="32"/>
          <w:lang w:eastAsia="zh-CN"/>
        </w:rPr>
        <w:t>以及先进单位</w:t>
      </w:r>
      <w:r>
        <w:rPr>
          <w:rFonts w:hint="eastAsia" w:ascii="仿宋_GB2312" w:hAnsi="仿宋_GB2312" w:eastAsia="仿宋_GB2312" w:cs="仿宋_GB2312"/>
          <w:sz w:val="32"/>
          <w:szCs w:val="32"/>
        </w:rPr>
        <w:t>还有一定</w:t>
      </w:r>
      <w:r>
        <w:rPr>
          <w:rFonts w:hint="eastAsia" w:ascii="仿宋_GB2312" w:hAnsi="仿宋_GB2312" w:eastAsia="仿宋_GB2312" w:cs="仿宋_GB2312"/>
          <w:sz w:val="32"/>
          <w:szCs w:val="32"/>
          <w:lang w:val="en-US" w:eastAsia="zh-CN"/>
        </w:rPr>
        <w:t>差距</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如</w:t>
      </w:r>
      <w:r>
        <w:rPr>
          <w:rFonts w:hint="eastAsia" w:ascii="仿宋_GB2312" w:hAnsi="仿宋_GB2312" w:eastAsia="仿宋_GB2312" w:cs="仿宋_GB2312"/>
          <w:sz w:val="32"/>
          <w:szCs w:val="32"/>
          <w:lang w:val="en-US" w:eastAsia="zh-CN"/>
        </w:rPr>
        <w:t>政务公开工作能力和水平还需进一步提升，尤其在工作主动性前瞻性上需要改进；个性化公开指标得分较低，解读力度不够、</w:t>
      </w:r>
      <w:r>
        <w:rPr>
          <w:rFonts w:hint="eastAsia" w:ascii="仿宋_GB2312" w:hAnsi="仿宋_GB2312" w:eastAsia="仿宋_GB2312" w:cs="仿宋_GB2312"/>
          <w:sz w:val="32"/>
          <w:szCs w:val="32"/>
        </w:rPr>
        <w:t>形式单一</w:t>
      </w:r>
      <w:r>
        <w:rPr>
          <w:rFonts w:hint="eastAsia" w:ascii="仿宋_GB2312" w:hAnsi="仿宋_GB2312" w:eastAsia="仿宋_GB2312" w:cs="仿宋_GB2312"/>
          <w:sz w:val="32"/>
          <w:szCs w:val="32"/>
          <w:lang w:eastAsia="zh-CN"/>
        </w:rPr>
        <w:t>；没有完全对应公开目录进行公开；政府开放日活动开展得较为呆板，特色不鲜明。</w:t>
      </w:r>
      <w:r>
        <w:rPr>
          <w:rFonts w:hint="eastAsia" w:ascii="仿宋_GB2312" w:hAnsi="仿宋_GB2312" w:eastAsia="仿宋_GB2312" w:cs="仿宋_GB2312"/>
          <w:sz w:val="32"/>
          <w:szCs w:val="32"/>
        </w:rPr>
        <w:t>下步，我局将针对存在的问题，从以下方面加以改进：一是</w:t>
      </w:r>
      <w:r>
        <w:rPr>
          <w:rFonts w:hint="eastAsia" w:ascii="仿宋_GB2312" w:hAnsi="仿宋_GB2312" w:eastAsia="仿宋_GB2312" w:cs="仿宋_GB2312"/>
          <w:sz w:val="32"/>
          <w:szCs w:val="32"/>
          <w:lang w:val="en-US" w:eastAsia="zh-CN"/>
        </w:rPr>
        <w:t>推动本部门政府信息公开制度落实落细</w:t>
      </w:r>
      <w:r>
        <w:rPr>
          <w:rFonts w:hint="eastAsia" w:ascii="仿宋_GB2312" w:hAnsi="仿宋_GB2312" w:eastAsia="仿宋_GB2312" w:cs="仿宋_GB2312"/>
          <w:sz w:val="32"/>
          <w:szCs w:val="32"/>
        </w:rPr>
        <w:t>，加强对政务公开工作的</w:t>
      </w:r>
      <w:r>
        <w:rPr>
          <w:rFonts w:hint="eastAsia" w:ascii="仿宋_GB2312" w:hAnsi="仿宋_GB2312" w:eastAsia="仿宋_GB2312" w:cs="仿宋_GB2312"/>
          <w:sz w:val="32"/>
          <w:szCs w:val="32"/>
          <w:lang w:val="en-US" w:eastAsia="zh-CN"/>
        </w:rPr>
        <w:t>日常</w:t>
      </w:r>
      <w:r>
        <w:rPr>
          <w:rFonts w:hint="eastAsia" w:ascii="仿宋_GB2312" w:hAnsi="仿宋_GB2312" w:eastAsia="仿宋_GB2312" w:cs="仿宋_GB2312"/>
          <w:sz w:val="32"/>
          <w:szCs w:val="32"/>
        </w:rPr>
        <w:t>监督，</w:t>
      </w:r>
      <w:r>
        <w:rPr>
          <w:rFonts w:hint="eastAsia" w:ascii="仿宋_GB2312" w:hAnsi="仿宋_GB2312" w:eastAsia="仿宋_GB2312" w:cs="仿宋_GB2312"/>
          <w:sz w:val="32"/>
          <w:szCs w:val="32"/>
          <w:lang w:eastAsia="zh-CN"/>
        </w:rPr>
        <w:t>压实各科室</w:t>
      </w:r>
      <w:r>
        <w:rPr>
          <w:rFonts w:hint="eastAsia" w:ascii="仿宋_GB2312" w:hAnsi="仿宋_GB2312" w:eastAsia="仿宋_GB2312" w:cs="仿宋_GB2312"/>
          <w:sz w:val="32"/>
          <w:szCs w:val="32"/>
        </w:rPr>
        <w:t>责任</w:t>
      </w:r>
      <w:r>
        <w:rPr>
          <w:rFonts w:hint="eastAsia" w:ascii="仿宋_GB2312" w:hAnsi="仿宋_GB2312" w:eastAsia="仿宋_GB2312" w:cs="仿宋_GB2312"/>
          <w:sz w:val="32"/>
          <w:szCs w:val="32"/>
          <w:lang w:eastAsia="zh-CN"/>
        </w:rPr>
        <w:t>，做到及时公开；</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规范强化政策解读工作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在“谁制定谁解读”的基础上，丰富解读方式，拓展公开渠道，增加受众面和影响力，做到全面公开；</w:t>
      </w:r>
      <w:r>
        <w:rPr>
          <w:rFonts w:hint="eastAsia" w:ascii="仿宋_GB2312" w:hAnsi="仿宋_GB2312" w:eastAsia="仿宋_GB2312" w:cs="仿宋_GB2312"/>
          <w:sz w:val="32"/>
          <w:szCs w:val="32"/>
        </w:rPr>
        <w:t>三是</w:t>
      </w:r>
      <w:r>
        <w:rPr>
          <w:rFonts w:hint="eastAsia" w:ascii="仿宋_GB2312" w:hAnsi="仿宋_GB2312" w:eastAsia="仿宋_GB2312" w:cs="仿宋_GB2312"/>
          <w:sz w:val="32"/>
          <w:szCs w:val="32"/>
          <w:lang w:eastAsia="zh-CN"/>
        </w:rPr>
        <w:t>搞好</w:t>
      </w:r>
      <w:r>
        <w:rPr>
          <w:rFonts w:hint="eastAsia" w:ascii="仿宋_GB2312" w:hAnsi="仿宋_GB2312" w:eastAsia="仿宋_GB2312" w:cs="仿宋_GB2312"/>
          <w:sz w:val="32"/>
          <w:szCs w:val="32"/>
        </w:rPr>
        <w:t>政务公开工作培训，</w:t>
      </w:r>
      <w:r>
        <w:rPr>
          <w:rFonts w:hint="eastAsia" w:ascii="仿宋_GB2312" w:hAnsi="仿宋_GB2312" w:eastAsia="仿宋_GB2312" w:cs="仿宋_GB2312"/>
          <w:sz w:val="32"/>
          <w:szCs w:val="32"/>
          <w:lang w:eastAsia="zh-CN"/>
        </w:rPr>
        <w:t>提高</w:t>
      </w:r>
      <w:r>
        <w:rPr>
          <w:rFonts w:hint="eastAsia" w:ascii="仿宋_GB2312" w:hAnsi="仿宋_GB2312" w:eastAsia="仿宋_GB2312" w:cs="仿宋_GB2312"/>
          <w:sz w:val="32"/>
          <w:szCs w:val="32"/>
        </w:rPr>
        <w:t>机关工作人员的</w:t>
      </w:r>
      <w:r>
        <w:rPr>
          <w:rFonts w:hint="eastAsia" w:ascii="仿宋_GB2312" w:hAnsi="仿宋_GB2312" w:eastAsia="仿宋_GB2312" w:cs="仿宋_GB2312"/>
          <w:sz w:val="32"/>
          <w:szCs w:val="32"/>
          <w:lang w:val="en-US" w:eastAsia="zh-CN"/>
        </w:rPr>
        <w:t>政府信息主动</w:t>
      </w:r>
      <w:r>
        <w:rPr>
          <w:rFonts w:hint="eastAsia" w:ascii="仿宋_GB2312" w:hAnsi="仿宋_GB2312" w:eastAsia="仿宋_GB2312" w:cs="仿宋_GB2312"/>
          <w:sz w:val="32"/>
          <w:szCs w:val="32"/>
        </w:rPr>
        <w:t>公开意识，</w:t>
      </w:r>
      <w:r>
        <w:rPr>
          <w:rFonts w:hint="eastAsia" w:ascii="仿宋_GB2312" w:hAnsi="仿宋_GB2312" w:eastAsia="仿宋_GB2312" w:cs="仿宋_GB2312"/>
          <w:sz w:val="32"/>
          <w:szCs w:val="32"/>
          <w:lang w:eastAsia="zh-CN"/>
        </w:rPr>
        <w:t>提升</w:t>
      </w:r>
      <w:r>
        <w:rPr>
          <w:rFonts w:hint="eastAsia" w:ascii="仿宋_GB2312" w:hAnsi="仿宋_GB2312" w:eastAsia="仿宋_GB2312" w:cs="仿宋_GB2312"/>
          <w:sz w:val="32"/>
          <w:szCs w:val="32"/>
        </w:rPr>
        <w:t>发布信息、解读</w:t>
      </w:r>
      <w:r>
        <w:rPr>
          <w:rFonts w:hint="eastAsia" w:ascii="仿宋_GB2312" w:hAnsi="仿宋_GB2312" w:eastAsia="仿宋_GB2312" w:cs="仿宋_GB2312"/>
          <w:sz w:val="32"/>
          <w:szCs w:val="32"/>
          <w:lang w:val="en-US" w:eastAsia="zh-CN"/>
        </w:rPr>
        <w:t>文件、回应群众</w:t>
      </w:r>
      <w:r>
        <w:rPr>
          <w:rFonts w:hint="eastAsia" w:ascii="仿宋_GB2312" w:hAnsi="仿宋_GB2312" w:eastAsia="仿宋_GB2312" w:cs="仿宋_GB2312"/>
          <w:sz w:val="32"/>
          <w:szCs w:val="32"/>
        </w:rPr>
        <w:t>的能力和水平</w:t>
      </w:r>
      <w:r>
        <w:rPr>
          <w:rFonts w:hint="eastAsia" w:ascii="仿宋_GB2312" w:hAnsi="仿宋_GB2312" w:eastAsia="仿宋_GB2312" w:cs="仿宋_GB2312"/>
          <w:sz w:val="32"/>
          <w:szCs w:val="32"/>
          <w:lang w:eastAsia="zh-CN"/>
        </w:rPr>
        <w:t>；四是加强工作的主动性和前瞻性，深入学习上级关于政府信息公开的文件精神，学思践悟，提前谋划，争取将我局政府信息公开工作做好做强做出品牌。</w:t>
      </w:r>
    </w:p>
    <w:p>
      <w:pPr>
        <w:pStyle w:val="6"/>
        <w:widowControl/>
        <w:spacing w:before="0" w:beforeAutospacing="0" w:after="0" w:afterAutospacing="0"/>
        <w:ind w:firstLine="420"/>
        <w:jc w:val="both"/>
        <w:rPr>
          <w:rFonts w:hint="eastAsia" w:ascii="CESI黑体-GB2312" w:hAnsi="CESI黑体-GB2312" w:eastAsia="CESI黑体-GB2312" w:cs="CESI黑体-GB2312"/>
          <w:b w:val="0"/>
          <w:bCs w:val="0"/>
          <w:sz w:val="32"/>
          <w:szCs w:val="32"/>
        </w:rPr>
      </w:pPr>
      <w:r>
        <w:rPr>
          <w:rFonts w:hint="eastAsia" w:ascii="CESI黑体-GB2312" w:hAnsi="CESI黑体-GB2312" w:eastAsia="CESI黑体-GB2312" w:cs="CESI黑体-GB2312"/>
          <w:b w:val="0"/>
          <w:bCs w:val="0"/>
          <w:sz w:val="32"/>
          <w:szCs w:val="32"/>
        </w:rPr>
        <w:t>六、其他需要报告的事项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2021年，市文化和旅游局未收取政府信息公开信息处理费。</w:t>
      </w:r>
    </w:p>
    <w:sectPr>
      <w:footerReference r:id="rId3" w:type="default"/>
      <w:pgSz w:w="11906" w:h="16838"/>
      <w:pgMar w:top="1531" w:right="1587" w:bottom="153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CESI黑体-GB2312">
    <w:panose1 w:val="02000500000000000000"/>
    <w:charset w:val="86"/>
    <w:family w:val="auto"/>
    <w:pitch w:val="default"/>
    <w:sig w:usb0="800002BF" w:usb1="184F6CF8" w:usb2="00000012" w:usb3="00000000" w:csb0="0004000F" w:csb1="00000000"/>
  </w:font>
  <w:font w:name="楷体">
    <w:altName w:val="方正楷体_GBK"/>
    <w:panose1 w:val="02010609060101010101"/>
    <w:charset w:val="00"/>
    <w:family w:val="modern"/>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5824EE"/>
    <w:rsid w:val="236700F4"/>
    <w:rsid w:val="3DB33623"/>
    <w:rsid w:val="4AEC44A2"/>
    <w:rsid w:val="5F7FAB34"/>
    <w:rsid w:val="70DF2ADC"/>
    <w:rsid w:val="719E30C9"/>
    <w:rsid w:val="73DF5791"/>
    <w:rsid w:val="7DD3908D"/>
    <w:rsid w:val="7E44285C"/>
    <w:rsid w:val="F3DE78F9"/>
    <w:rsid w:val="FF735774"/>
    <w:rsid w:val="FF9EA9E3"/>
    <w:rsid w:val="FFDF49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2014-10-31T12:08:00Z</dcterms:created>
  <dc:creator>wang</dc:creator>
  <cp:lastModifiedBy>文广新天地</cp:lastModifiedBy>
  <dcterms:modified xsi:type="dcterms:W3CDTF">2022-08-05T15:18:50Z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